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hd w:val="clear" w:color="auto" w:fill="FFFFFF"/>
        <w:spacing w:beforeAutospacing="0" w:afterAutospacing="0" w:line="450" w:lineRule="atLeast"/>
        <w:jc w:val="center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福建龙溪轴承(集团)股份有限公司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hAnsi="宋体" w:eastAsia="宋体" w:cs="微软雅黑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蓝田二厂区清洁生产信息公示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《福建省生态环境厅关于公布2025年实施强制性清洁生产审核企业名单的通知》（闽环保科财〔2025〕20号）要求，公司于2025年8月18日被省生态环境厅列入强制性清洁生产审核企业名单。为此，公司为了积极贯彻执行《中华人民共和国清洁生产促进法》和《福建省清洁生产审核实施细则》（试行），公司已经启动清洁生产审核。现依法向公众公示我公司产污排污状况。我公司郑重声明：对提供的信息真实有效。请社会各界对我公司实施清洁生产审核的情况进行监督。</w:t>
      </w:r>
    </w:p>
    <w:p>
      <w:pPr>
        <w:pStyle w:val="7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一、企业基本情况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企业名称：福建龙溪轴承(集团)股份有限公司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法人代表：陈晋辉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场所地址：福建省漳州市龙文区福岐北路9号 （蓝田二厂区）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行业类别：轴承、齿轮和传动部件制造 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主要污染物：废水、废气、噪声、固体废物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42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主要环保设施：污水处理站（综合废水处理设施+含铬废水处理设施+含锌废水处理设施）；酸雾喷淋净化装置、滤筒式除尘器、分子筛吸附+CO催化燃烧装置、静电除油+活性炭吸附；一般废物暂存间、危险废物暂存间。</w:t>
      </w:r>
    </w:p>
    <w:p>
      <w:pPr>
        <w:pStyle w:val="7"/>
        <w:widowControl/>
        <w:shd w:val="clear" w:color="auto" w:fill="FFFFFF"/>
        <w:spacing w:before="100" w:beforeAutospacing="0" w:after="100" w:afterAutospacing="0" w:line="360" w:lineRule="auto"/>
        <w:rPr>
          <w:rFonts w:ascii="黑体" w:hAnsi="黑体" w:eastAsia="黑体" w:cs="黑体"/>
          <w:b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二、有毒有害物质排放情况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  <w:t>1.生产废水处置情况。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我公司二厂区对生产过程产生的含铬废水、含锌废水进行分类收集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、分质处理。</w:t>
      </w:r>
      <w:r>
        <w:rPr>
          <w:rFonts w:hint="eastAsia" w:ascii="宋体" w:hAnsi="宋体" w:eastAsia="宋体" w:cs="宋体"/>
          <w:sz w:val="32"/>
          <w:szCs w:val="32"/>
          <w:highlight w:val="none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含铬废水单独处理达标后进入车间排放口；2.含锌废水、综合废水单独处理后，汇入综合废水调节池，经过生化处理后，与达标处理后的含铬废水汇入总排放口；3.生活污水经过化粪池处理后汇入市政污水排放口。三股废水在市政污水排放口汇合后最终进入东墩污水厂进行处理。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</w:rPr>
        <w:t>2.生产废气处置情况。</w:t>
      </w:r>
    </w:p>
    <w:p>
      <w:pPr>
        <w:pStyle w:val="7"/>
        <w:widowControl/>
        <w:shd w:val="clear" w:color="auto" w:fill="FFFFFF"/>
        <w:spacing w:beforeAutospacing="0" w:after="100" w:afterAutospacing="0" w:line="45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废气主要为电镀生产车间酸洗、活化、电镀、出光、钝化等工序会产生酸雾废气（铬酸雾、盐酸雾、硝酸雾）、抛光和喷砂废气（颗粒物）、机加工和脱模剂喷涂等废气（非甲烷总烃）、衬垫制备废气（非甲烷总烃、乙酸乙酯 ）、热处理废气（非甲烷总烃），经厂区废气治理措施处理后达标排放。</w:t>
      </w:r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</w:rPr>
        <w:t>3.一般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  <w:lang w:val="en-US" w:eastAsia="zh-CN"/>
        </w:rPr>
        <w:t>工业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shd w:val="clear" w:color="auto" w:fill="FFFFFF"/>
        </w:rPr>
        <w:t>固体废物产生及处置情况。</w:t>
      </w:r>
    </w:p>
    <w:p>
      <w:pPr>
        <w:pStyle w:val="7"/>
        <w:widowControl/>
        <w:shd w:val="clear" w:color="auto" w:fill="FFFFFF"/>
        <w:spacing w:beforeAutospacing="0" w:after="100" w:afterAutospacing="0" w:line="450" w:lineRule="atLeas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生产过程产生的一般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工业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固体废物主要为生产过程产生的废铁、废钢、除尘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灰，一般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固废分类收集后，均委托物资回收单位处置。</w:t>
      </w:r>
      <w:bookmarkStart w:id="0" w:name="_GoBack"/>
      <w:bookmarkEnd w:id="0"/>
    </w:p>
    <w:p>
      <w:pPr>
        <w:pStyle w:val="7"/>
        <w:widowControl/>
        <w:shd w:val="clear" w:color="auto" w:fill="FFFFFF"/>
        <w:spacing w:beforeAutospacing="0" w:afterAutospacing="0" w:line="450" w:lineRule="atLeas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  <w:t>4.危险废物产生及处置情况。</w:t>
      </w:r>
    </w:p>
    <w:p>
      <w:pPr>
        <w:pStyle w:val="7"/>
        <w:widowControl/>
        <w:shd w:val="clear" w:color="auto" w:fill="FFFFFF"/>
        <w:spacing w:beforeAutospacing="0" w:after="100" w:afterAutospacing="0" w:line="45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主要危险废物为抛光粉尘、含铬污泥、含锌污泥、废滤芯、表面处理废液、各表面处理槽渣、废酸液（酸洗、退镀工序）、废矿物油、废油桶、废乳化液、废活性炭、衬垫废料、废化学品包装物、废压滤机滤布、实验废液等，危险废物分类收集后，均委托有资质的危废处置单位处置。</w:t>
      </w:r>
    </w:p>
    <w:p>
      <w:pPr>
        <w:pStyle w:val="7"/>
        <w:widowControl/>
        <w:shd w:val="clear" w:color="auto" w:fill="FFFFFF"/>
        <w:spacing w:before="100" w:beforeAutospacing="0" w:after="100" w:afterAutospacing="0" w:line="360" w:lineRule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三、企业环境风险防控措施情况</w:t>
      </w:r>
    </w:p>
    <w:p>
      <w:pPr>
        <w:widowControl/>
        <w:spacing w:before="100" w:beforeAutospacing="1" w:after="100" w:afterAutospacing="1" w:line="360" w:lineRule="auto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我公司已按照相关要求编制了应急预案，并且按要求执行。</w:t>
      </w:r>
    </w:p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表1废气排放情况表</w:t>
      </w:r>
    </w:p>
    <w:tbl>
      <w:tblPr>
        <w:tblStyle w:val="9"/>
        <w:tblW w:w="9167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850"/>
        <w:gridCol w:w="1434"/>
        <w:gridCol w:w="1727"/>
        <w:gridCol w:w="1448"/>
        <w:gridCol w:w="11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480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项目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bidi="ar"/>
              </w:rPr>
              <w:t>污染物排放浓度限值mg/m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vertAlign w:val="superscript"/>
                <w:lang w:bidi="ar"/>
              </w:rPr>
              <w:t>3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bidi="ar"/>
              </w:rPr>
              <w:t>污染物排放浓度mg/m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vertAlign w:val="superscript"/>
                <w:lang w:bidi="ar"/>
              </w:rPr>
              <w:t>3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污染物排放量t/a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电镀车间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铬酸雾排放口DA001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铬酸雾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0.025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0.0025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0.000121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85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其他酸雾排放口DA002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氯化氢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15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6.54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0.382296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8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氮氧化物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1.5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0.087704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 抛光粉尘排放口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DA003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颗粒物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120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0.173411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二厂5#厂房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热处理废气排气筒DA004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非甲烷总烃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0.62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0.007630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二厂4#厂房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一楼喷砂废气排气筒DA005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颗粒物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120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0.034354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二厂6#厂房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喷砂废气排气筒DA006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颗粒物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120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0.015134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二厂6#厂房</w:t>
            </w:r>
          </w:p>
        </w:tc>
        <w:tc>
          <w:tcPr>
            <w:tcW w:w="185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洗废气、衬垫制备废气排气筒DA007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乙酸乙酯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50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0.497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0.045850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85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非甲烷总烃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60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1.1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0.101478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二厂4#厂房</w:t>
            </w:r>
          </w:p>
        </w:tc>
        <w:tc>
          <w:tcPr>
            <w:tcW w:w="1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二楼清洗废气、脱模剂废气排气筒DA008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非甲烷总烃</w:t>
            </w:r>
          </w:p>
        </w:tc>
        <w:tc>
          <w:tcPr>
            <w:tcW w:w="1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100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1.94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0.023867</w:t>
            </w:r>
          </w:p>
        </w:tc>
      </w:tr>
    </w:tbl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表2废水排放情况表（排放量以排入污水处理厂计）</w:t>
      </w:r>
    </w:p>
    <w:tbl>
      <w:tblPr>
        <w:tblStyle w:val="9"/>
        <w:tblW w:w="9172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225"/>
        <w:gridCol w:w="1539"/>
        <w:gridCol w:w="1539"/>
        <w:gridCol w:w="1557"/>
        <w:gridCol w:w="8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371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项目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污染物排放浓度限值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mg/m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vertAlign w:val="superscript"/>
                <w:lang w:bidi="ar"/>
              </w:rPr>
              <w:t>3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污染物排放浓度mg/m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vertAlign w:val="superscript"/>
                <w:lang w:bidi="ar"/>
              </w:rPr>
              <w:t>3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排入污水处理厂排放量t/a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去向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蓝田二厂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废水总排放口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废水排放量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18468</w:t>
            </w:r>
          </w:p>
        </w:tc>
        <w:tc>
          <w:tcPr>
            <w:tcW w:w="82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东墩污水处理厂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化学需氧量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500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194.78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3.597197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悬浮物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400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46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0.849528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阴离子表面活性剂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3.56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0.065746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总铁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0.5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0.009234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氨氮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45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1.8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0.033242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总磷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0.09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0.001662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石油类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0.75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0.013851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总铝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2.83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0.052264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总锌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1.5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0.96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0.017729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蓝田二厂电镀废水排口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废水排放量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4884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总铬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0.838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0.004093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六价铬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0.2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0.097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0.000474 </w:t>
            </w: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widowControl/>
        <w:spacing w:line="360" w:lineRule="auto"/>
        <w:jc w:val="center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表3固废产生、处置情况表</w:t>
      </w:r>
    </w:p>
    <w:tbl>
      <w:tblPr>
        <w:tblStyle w:val="9"/>
        <w:tblW w:w="9071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488"/>
        <w:gridCol w:w="1311"/>
        <w:gridCol w:w="1496"/>
        <w:gridCol w:w="1305"/>
        <w:gridCol w:w="38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97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类别</w:t>
            </w: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危废编号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产生量（t/a）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处置方式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5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一般工业固废</w:t>
            </w: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废钢、废铁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</w:rPr>
              <w:t>1378.53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委托物资回收单位处置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除尘灰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/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4.5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委托物资回收单位处置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危险废物</w:t>
            </w: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抛光粉尘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336-064-17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2.7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含铬污泥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336-060-17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27.566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含锌污泥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336-052-17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19.644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废乳化液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900-006-09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243.9764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废滤芯</w:t>
            </w:r>
          </w:p>
        </w:tc>
        <w:tc>
          <w:tcPr>
            <w:tcW w:w="14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900-041-49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0.11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</w:rPr>
              <w:t>沾染危废的物质 和过滤吸附介质</w:t>
            </w:r>
          </w:p>
        </w:tc>
        <w:tc>
          <w:tcPr>
            <w:tcW w:w="14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0.65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</w:rPr>
              <w:t>废镀铬槽液槽渣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336-063-17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8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</w:rPr>
              <w:t>钝化槽液槽渣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336-068-17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3.4</w:t>
            </w:r>
          </w:p>
        </w:tc>
        <w:tc>
          <w:tcPr>
            <w:tcW w:w="38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  <w:lang w:val="en-US"/>
              </w:rPr>
              <w:t>废矿物油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900-249-08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56.311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  <w:lang w:val="en-US"/>
              </w:rPr>
              <w:t>废油桶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900-249-08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7.28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废活性炭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900-039-49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0.05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衬垫废料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900-041-49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0.3788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kern w:val="0"/>
                <w:szCs w:val="24"/>
              </w:rPr>
              <w:t>废化学品包装物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900-041-49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6.9584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废压滤机滤布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900-041-49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0.35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13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实验废液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900-047-49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/>
              </w:rPr>
              <w:t>0.335</w:t>
            </w:r>
          </w:p>
        </w:tc>
        <w:tc>
          <w:tcPr>
            <w:tcW w:w="3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委托有资质的危废处置单位处置</w:t>
            </w:r>
          </w:p>
        </w:tc>
      </w:tr>
    </w:tbl>
    <w:p>
      <w:pPr>
        <w:pStyle w:val="7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微软雅黑"/>
          <w:b/>
          <w:bCs/>
          <w:sz w:val="30"/>
          <w:szCs w:val="30"/>
          <w:shd w:val="clear" w:color="auto" w:fill="FFFFFF"/>
        </w:rPr>
      </w:pPr>
    </w:p>
    <w:p>
      <w:pPr>
        <w:pStyle w:val="7"/>
        <w:widowControl/>
        <w:shd w:val="clear" w:color="auto" w:fill="FFFFFF"/>
        <w:spacing w:beforeAutospacing="0" w:afterAutospacing="0" w:line="360" w:lineRule="auto"/>
        <w:jc w:val="righ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福建龙溪轴承(集团)股份有限公司</w:t>
      </w:r>
    </w:p>
    <w:p>
      <w:pPr>
        <w:pStyle w:val="7"/>
        <w:widowControl/>
        <w:shd w:val="clear" w:color="auto" w:fill="FFFFFF"/>
        <w:spacing w:beforeAutospacing="0" w:afterAutospacing="0" w:line="360" w:lineRule="auto"/>
        <w:jc w:val="center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                 2025年9月1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日</w:t>
      </w:r>
    </w:p>
    <w:p>
      <w:pPr>
        <w:pStyle w:val="7"/>
        <w:shd w:val="clear" w:color="auto" w:fill="FFFFFF"/>
        <w:spacing w:line="360" w:lineRule="auto"/>
        <w:jc w:val="right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MmY0MThmNzk1Y2IyMTMxOTM5ZGJmNWM2NTJkNjkifQ=="/>
    <w:docVar w:name="KSO_WPS_MARK_KEY" w:val="8a06d476-6309-40be-ab16-e2eff20d0b09"/>
  </w:docVars>
  <w:rsids>
    <w:rsidRoot w:val="00FE4044"/>
    <w:rsid w:val="000F539F"/>
    <w:rsid w:val="00257F58"/>
    <w:rsid w:val="003262BA"/>
    <w:rsid w:val="005C0E14"/>
    <w:rsid w:val="005F6BB6"/>
    <w:rsid w:val="00660B00"/>
    <w:rsid w:val="00690A09"/>
    <w:rsid w:val="00751B8C"/>
    <w:rsid w:val="009B3AFB"/>
    <w:rsid w:val="00C06C02"/>
    <w:rsid w:val="00C91453"/>
    <w:rsid w:val="00EF5EA2"/>
    <w:rsid w:val="00FE4044"/>
    <w:rsid w:val="03B44E81"/>
    <w:rsid w:val="059E34DE"/>
    <w:rsid w:val="06973D3D"/>
    <w:rsid w:val="0A2137D9"/>
    <w:rsid w:val="0A7E395B"/>
    <w:rsid w:val="0C4B4E04"/>
    <w:rsid w:val="0D2A3ABE"/>
    <w:rsid w:val="0E4A62F3"/>
    <w:rsid w:val="12A80A38"/>
    <w:rsid w:val="153674A4"/>
    <w:rsid w:val="16732B25"/>
    <w:rsid w:val="181A5D5A"/>
    <w:rsid w:val="188C6126"/>
    <w:rsid w:val="19A16A55"/>
    <w:rsid w:val="19B4243B"/>
    <w:rsid w:val="1B1A4B7F"/>
    <w:rsid w:val="1BDE669C"/>
    <w:rsid w:val="1F811C64"/>
    <w:rsid w:val="20F67AA7"/>
    <w:rsid w:val="24A27937"/>
    <w:rsid w:val="251723A2"/>
    <w:rsid w:val="284B1061"/>
    <w:rsid w:val="2A3F69A3"/>
    <w:rsid w:val="2C4209CD"/>
    <w:rsid w:val="2D012742"/>
    <w:rsid w:val="2F2F16DF"/>
    <w:rsid w:val="305D4027"/>
    <w:rsid w:val="319B4E07"/>
    <w:rsid w:val="32FA3DAF"/>
    <w:rsid w:val="346C2A8B"/>
    <w:rsid w:val="36DF3538"/>
    <w:rsid w:val="3CFB0E22"/>
    <w:rsid w:val="3D3911D0"/>
    <w:rsid w:val="424B18DD"/>
    <w:rsid w:val="442B4E4A"/>
    <w:rsid w:val="46BB1615"/>
    <w:rsid w:val="4AFF481C"/>
    <w:rsid w:val="4DC4528E"/>
    <w:rsid w:val="4F630497"/>
    <w:rsid w:val="51675E12"/>
    <w:rsid w:val="549366A9"/>
    <w:rsid w:val="5A290952"/>
    <w:rsid w:val="5C571ED5"/>
    <w:rsid w:val="5CC22F6F"/>
    <w:rsid w:val="5E943726"/>
    <w:rsid w:val="60B42D1A"/>
    <w:rsid w:val="60CE2AFA"/>
    <w:rsid w:val="62176EC2"/>
    <w:rsid w:val="63AA286E"/>
    <w:rsid w:val="65D76EE7"/>
    <w:rsid w:val="67490F31"/>
    <w:rsid w:val="6840201C"/>
    <w:rsid w:val="69B67D29"/>
    <w:rsid w:val="6A4E1315"/>
    <w:rsid w:val="6D6379AF"/>
    <w:rsid w:val="6D943AA1"/>
    <w:rsid w:val="6E313E6D"/>
    <w:rsid w:val="6E621169"/>
    <w:rsid w:val="6F351203"/>
    <w:rsid w:val="6F4D1050"/>
    <w:rsid w:val="6FE30005"/>
    <w:rsid w:val="710B6F54"/>
    <w:rsid w:val="71562BDE"/>
    <w:rsid w:val="72EB477A"/>
    <w:rsid w:val="74961BD4"/>
    <w:rsid w:val="7AAF2356"/>
    <w:rsid w:val="7F10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alloon Text"/>
    <w:basedOn w:val="1"/>
    <w:link w:val="24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next w:val="1"/>
    <w:unhideWhenUsed/>
    <w:qFormat/>
    <w:uiPriority w:val="99"/>
    <w:pPr>
      <w:ind w:firstLine="420" w:firstLineChars="100"/>
    </w:pPr>
    <w:rPr>
      <w:sz w:val="28"/>
      <w:szCs w:val="20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fontstyle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13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91"/>
    <w:basedOn w:val="11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5">
    <w:name w:val="font4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6">
    <w:name w:val="font6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31"/>
    <w:basedOn w:val="11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9">
    <w:name w:val="font8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0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1">
    <w:name w:val="啊啊正文"/>
    <w:basedOn w:val="1"/>
    <w:qFormat/>
    <w:uiPriority w:val="0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宋体" w:cs="仿宋_GB2312"/>
      <w:sz w:val="24"/>
      <w:szCs w:val="28"/>
      <w:lang w:val="zh-CN"/>
    </w:rPr>
  </w:style>
  <w:style w:type="character" w:customStyle="1" w:styleId="22">
    <w:name w:val="页眉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Char"/>
    <w:basedOn w:val="11"/>
    <w:link w:val="4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1817</Words>
  <Characters>2337</Characters>
  <Lines>19</Lines>
  <Paragraphs>5</Paragraphs>
  <TotalTime>0</TotalTime>
  <ScaleCrop>false</ScaleCrop>
  <LinksUpToDate>false</LinksUpToDate>
  <CharactersWithSpaces>2375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2022-03-28T02:09:00Z</dcterms:created>
  <dc:creator>Administrator</dc:creator>
  <cp:lastModifiedBy>Administrator</cp:lastModifiedBy>
  <cp:lastPrinted>2025-09-23T00:57:00Z</cp:lastPrinted>
  <dcterms:modified xsi:type="dcterms:W3CDTF">2025-10-10T00:24:28Z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FBD622FF2B8A4ABE83A0300E3C835176_13</vt:lpwstr>
  </property>
  <property fmtid="{D5CDD505-2E9C-101B-9397-08002B2CF9AE}" pid="4" name="KSOTemplateDocerSaveRecord">
    <vt:lpwstr>eyJoZGlkIjoiM2NlMjFjMjJiZmEwY2U0OGYyNTc3YTYwZjQzMmMwYmUiLCJ1c2VySWQiOiIxNTI4Nzk3MTgifQ==</vt:lpwstr>
  </property>
</Properties>
</file>