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5DC">
      <w:pPr>
        <w:spacing w:line="400" w:lineRule="exact"/>
        <w:rPr>
          <w:rFonts w:hint="eastAsia"/>
          <w:sz w:val="24"/>
        </w:rPr>
      </w:pPr>
      <w:bookmarkStart w:id="0" w:name="_GoBack"/>
      <w:bookmarkEnd w:id="0"/>
      <w:r>
        <w:rPr>
          <w:rFonts w:hint="eastAsia"/>
          <w:sz w:val="24"/>
        </w:rPr>
        <w:t>附件：</w:t>
      </w:r>
    </w:p>
    <w:p w14:paraId="651D80A5">
      <w:pPr>
        <w:ind w:firstLine="723"/>
        <w:jc w:val="center"/>
        <w:rPr>
          <w:rFonts w:hint="eastAsia" w:ascii="宋体" w:hAnsi="宋体"/>
          <w:b/>
          <w:color w:val="000000"/>
          <w:sz w:val="32"/>
          <w:szCs w:val="32"/>
        </w:rPr>
      </w:pPr>
      <w:r>
        <w:rPr>
          <w:rFonts w:hint="eastAsia" w:ascii="宋体" w:hAnsi="宋体"/>
          <w:b/>
          <w:color w:val="000000"/>
          <w:sz w:val="32"/>
          <w:szCs w:val="32"/>
        </w:rPr>
        <w:t>滚丝机采购与安装要求</w:t>
      </w:r>
    </w:p>
    <w:p w14:paraId="7BCE869A">
      <w:pPr>
        <w:rPr>
          <w:rFonts w:hint="eastAsia"/>
          <w:b/>
          <w:sz w:val="28"/>
          <w:szCs w:val="28"/>
        </w:rPr>
      </w:pPr>
      <w:r>
        <w:rPr>
          <w:rFonts w:hint="eastAsia"/>
          <w:b/>
          <w:sz w:val="28"/>
          <w:szCs w:val="28"/>
        </w:rPr>
        <w:t>一、项目简介</w:t>
      </w:r>
    </w:p>
    <w:p w14:paraId="70C4C118">
      <w:pPr>
        <w:ind w:firstLine="480" w:firstLineChars="200"/>
        <w:rPr>
          <w:sz w:val="24"/>
        </w:rPr>
      </w:pPr>
      <w:r>
        <w:rPr>
          <w:sz w:val="24"/>
        </w:rPr>
        <w:t>项目名称：</w:t>
      </w:r>
      <w:r>
        <w:rPr>
          <w:rFonts w:hint="eastAsia"/>
          <w:sz w:val="24"/>
        </w:rPr>
        <w:t>滚丝机采购与安装</w:t>
      </w:r>
    </w:p>
    <w:p w14:paraId="6D983E26">
      <w:pPr>
        <w:ind w:firstLine="480" w:firstLineChars="200"/>
        <w:rPr>
          <w:sz w:val="24"/>
        </w:rPr>
      </w:pPr>
      <w:r>
        <w:rPr>
          <w:sz w:val="24"/>
        </w:rPr>
        <w:t>项目</w:t>
      </w:r>
      <w:r>
        <w:rPr>
          <w:rFonts w:hint="eastAsia"/>
          <w:sz w:val="24"/>
        </w:rPr>
        <w:t>预算</w:t>
      </w:r>
      <w:r>
        <w:rPr>
          <w:sz w:val="24"/>
        </w:rPr>
        <w:t>：</w:t>
      </w:r>
      <w:r>
        <w:rPr>
          <w:rFonts w:hint="eastAsia"/>
          <w:sz w:val="24"/>
        </w:rPr>
        <w:t>8.9万元，包含运费、税费</w:t>
      </w:r>
      <w:r>
        <w:rPr>
          <w:sz w:val="24"/>
        </w:rPr>
        <w:t>。</w:t>
      </w:r>
    </w:p>
    <w:p w14:paraId="32347087">
      <w:pPr>
        <w:ind w:firstLine="480" w:firstLineChars="200"/>
        <w:rPr>
          <w:sz w:val="24"/>
        </w:rPr>
      </w:pPr>
      <w:r>
        <w:rPr>
          <w:sz w:val="24"/>
        </w:rPr>
        <w:t>项目目的：</w:t>
      </w:r>
      <w:r>
        <w:rPr>
          <w:rFonts w:hint="eastAsia" w:ascii="宋体" w:hAnsi="宋体"/>
          <w:sz w:val="24"/>
          <w:lang w:val="zh-CN"/>
        </w:rPr>
        <w:t>用于T型和C型钢对钢系列挤压成形产品的游隙处理</w:t>
      </w:r>
      <w:r>
        <w:rPr>
          <w:rFonts w:hint="eastAsia"/>
          <w:sz w:val="24"/>
        </w:rPr>
        <w:t>。</w:t>
      </w:r>
    </w:p>
    <w:p w14:paraId="74B06243">
      <w:pPr>
        <w:rPr>
          <w:rFonts w:hint="eastAsia"/>
          <w:b/>
          <w:sz w:val="28"/>
          <w:szCs w:val="28"/>
        </w:rPr>
      </w:pPr>
      <w:r>
        <w:rPr>
          <w:rFonts w:hint="eastAsia"/>
          <w:b/>
          <w:sz w:val="28"/>
          <w:szCs w:val="28"/>
        </w:rPr>
        <w:t>二、主要技术要求</w:t>
      </w:r>
    </w:p>
    <w:p w14:paraId="268A865C">
      <w:pPr>
        <w:rPr>
          <w:rFonts w:hint="eastAsia" w:ascii="宋体" w:hAnsi="宋体"/>
          <w:sz w:val="24"/>
        </w:rPr>
      </w:pPr>
      <w:r>
        <w:rPr>
          <w:rFonts w:hint="eastAsia"/>
        </w:rPr>
        <w:t xml:space="preserve">     </w:t>
      </w:r>
      <w:r>
        <w:rPr>
          <w:rFonts w:hint="eastAsia"/>
          <w:b/>
          <w:sz w:val="24"/>
        </w:rPr>
        <w:t>1、功能、结构要求：</w:t>
      </w:r>
      <w:r>
        <w:rPr>
          <w:rFonts w:ascii="宋体" w:hAnsi="宋体"/>
          <w:sz w:val="24"/>
        </w:rPr>
        <w:t>滚丝机是一种多功能冷挤压成形机床，滚丝机能在其滚压力范围内冷态下对工件进行滚压等处理;滚丝冷滚压工艺是一种先进的无切削加工，能有效地提高工件的内在和表面质量，加工时产生的径向压应力，能显著提高工件的疲劳强度和扭转强度，是一种高效、节能、低耗的理想工艺。两滚轮</w:t>
      </w:r>
      <w:r>
        <w:rPr>
          <w:rFonts w:hint="eastAsia" w:ascii="宋体" w:hAnsi="宋体"/>
          <w:sz w:val="24"/>
        </w:rPr>
        <w:t>通过液压驱动，利用两滚轮的旋转力结合滑座的挤压力，用于滚压关节轴承产品，以调整轴承游隙，控制轴承空载启动力矩。</w:t>
      </w:r>
    </w:p>
    <w:p w14:paraId="176460AF">
      <w:pPr>
        <w:rPr>
          <w:rFonts w:hint="eastAsia" w:ascii="宋体" w:hAnsi="宋体"/>
          <w:sz w:val="24"/>
        </w:rPr>
      </w:pPr>
      <w:r>
        <w:rPr>
          <w:rFonts w:hint="eastAsia" w:ascii="宋体" w:hAnsi="宋体"/>
          <w:sz w:val="24"/>
        </w:rPr>
        <w:t xml:space="preserve">    2、</w:t>
      </w:r>
      <w:r>
        <w:rPr>
          <w:rFonts w:hint="eastAsia"/>
          <w:b/>
          <w:sz w:val="24"/>
        </w:rPr>
        <w:t>加工产品材质和尺寸范围：</w:t>
      </w:r>
    </w:p>
    <w:p w14:paraId="359318F9">
      <w:pPr>
        <w:rPr>
          <w:rFonts w:hint="eastAsia"/>
          <w:sz w:val="24"/>
        </w:rPr>
      </w:pPr>
      <w:r>
        <w:rPr>
          <w:rFonts w:hint="eastAsia" w:ascii="宋体" w:hAnsi="宋体"/>
          <w:sz w:val="24"/>
        </w:rPr>
        <w:t xml:space="preserve">    2.1</w:t>
      </w:r>
      <w:r>
        <w:rPr>
          <w:rFonts w:hint="eastAsia"/>
          <w:sz w:val="24"/>
        </w:rPr>
        <w:t>产品外圈为硬度</w:t>
      </w:r>
      <w:r>
        <w:rPr>
          <w:rFonts w:hint="eastAsia" w:ascii="宋体" w:hAnsi="宋体"/>
          <w:sz w:val="24"/>
        </w:rPr>
        <w:t>≤</w:t>
      </w:r>
      <w:r>
        <w:rPr>
          <w:rFonts w:hint="eastAsia"/>
          <w:sz w:val="24"/>
        </w:rPr>
        <w:t>HB300的各种碳钢、合金钢及有色金属；</w:t>
      </w:r>
    </w:p>
    <w:p w14:paraId="7CF8D60E">
      <w:pPr>
        <w:rPr>
          <w:rFonts w:hint="eastAsia"/>
          <w:sz w:val="24"/>
        </w:rPr>
      </w:pPr>
      <w:r>
        <w:rPr>
          <w:rFonts w:hint="eastAsia"/>
          <w:sz w:val="24"/>
        </w:rPr>
        <w:t xml:space="preserve">    2.2滚压产品工件外径</w:t>
      </w:r>
      <w:r>
        <w:rPr>
          <w:rFonts w:hint="eastAsia" w:ascii="宋体" w:hAnsi="宋体"/>
          <w:sz w:val="24"/>
        </w:rPr>
        <w:t>Φ</w:t>
      </w:r>
      <w:r>
        <w:rPr>
          <w:rFonts w:hint="eastAsia"/>
          <w:sz w:val="24"/>
        </w:rPr>
        <w:t>10</w:t>
      </w:r>
      <w:r>
        <w:rPr>
          <w:rFonts w:hint="eastAsia" w:ascii="宋体" w:hAnsi="宋体"/>
          <w:sz w:val="24"/>
        </w:rPr>
        <w:t>～Φ</w:t>
      </w:r>
      <w:r>
        <w:rPr>
          <w:rFonts w:hint="eastAsia"/>
          <w:sz w:val="24"/>
        </w:rPr>
        <w:t>75mm、产品宽度3</w:t>
      </w:r>
      <w:r>
        <w:rPr>
          <w:rFonts w:hint="eastAsia" w:ascii="宋体" w:hAnsi="宋体"/>
          <w:sz w:val="24"/>
        </w:rPr>
        <w:t>～</w:t>
      </w:r>
      <w:r>
        <w:rPr>
          <w:rFonts w:hint="eastAsia"/>
          <w:sz w:val="24"/>
        </w:rPr>
        <w:t>50mm。</w:t>
      </w:r>
    </w:p>
    <w:p w14:paraId="1FB00D23">
      <w:pPr>
        <w:rPr>
          <w:rFonts w:hint="eastAsia"/>
        </w:rPr>
      </w:pPr>
      <w:r>
        <w:rPr>
          <w:rFonts w:hint="eastAsia"/>
          <w:sz w:val="24"/>
        </w:rPr>
        <w:t xml:space="preserve">    3、</w:t>
      </w:r>
      <w:r>
        <w:rPr>
          <w:rFonts w:hint="eastAsia"/>
          <w:b/>
          <w:sz w:val="24"/>
        </w:rPr>
        <w:t>设备精度指标：</w:t>
      </w:r>
      <w:r>
        <w:rPr>
          <w:rFonts w:hint="eastAsia"/>
          <w:sz w:val="24"/>
        </w:rPr>
        <w:t>参照JB/T5201.1-2007两轴滚丝机精度要求执行</w:t>
      </w:r>
      <w:r>
        <w:rPr>
          <w:rFonts w:hint="eastAsia"/>
        </w:rPr>
        <w:t xml:space="preserve">     </w:t>
      </w:r>
    </w:p>
    <w:p w14:paraId="23A45E65">
      <w:pPr>
        <w:rPr>
          <w:rFonts w:hint="eastAsia" w:ascii="宋体" w:hAnsi="宋体"/>
          <w:b/>
          <w:sz w:val="24"/>
        </w:rPr>
      </w:pPr>
      <w:r>
        <w:rPr>
          <w:rFonts w:hint="eastAsia"/>
        </w:rPr>
        <w:t xml:space="preserve">     </w:t>
      </w:r>
      <w:r>
        <w:rPr>
          <w:rFonts w:hint="eastAsia" w:ascii="宋体" w:hAnsi="宋体"/>
          <w:b/>
          <w:sz w:val="24"/>
        </w:rPr>
        <w:t>4、其他技术指标：</w:t>
      </w:r>
    </w:p>
    <w:tbl>
      <w:tblPr>
        <w:tblStyle w:val="8"/>
        <w:tblW w:w="0" w:type="auto"/>
        <w:tblInd w:w="6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2880"/>
        <w:gridCol w:w="2626"/>
        <w:gridCol w:w="1488"/>
      </w:tblGrid>
      <w:tr w14:paraId="76F04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dxa"/>
          <w:trHeight w:val="529" w:hRule="atLeast"/>
        </w:trPr>
        <w:tc>
          <w:tcPr>
            <w:tcW w:w="900" w:type="dxa"/>
            <w:noWrap w:val="0"/>
            <w:vAlign w:val="center"/>
          </w:tcPr>
          <w:p w14:paraId="33441443">
            <w:pPr>
              <w:jc w:val="center"/>
              <w:rPr>
                <w:rFonts w:hint="eastAsia" w:ascii="宋体" w:hAnsi="宋体"/>
                <w:b/>
                <w:sz w:val="24"/>
              </w:rPr>
            </w:pPr>
            <w:r>
              <w:rPr>
                <w:rFonts w:hint="eastAsia" w:ascii="宋体" w:hAnsi="宋体"/>
                <w:b/>
                <w:sz w:val="24"/>
              </w:rPr>
              <w:t>序号</w:t>
            </w:r>
          </w:p>
        </w:tc>
        <w:tc>
          <w:tcPr>
            <w:tcW w:w="2880" w:type="dxa"/>
            <w:noWrap w:val="0"/>
            <w:vAlign w:val="center"/>
          </w:tcPr>
          <w:p w14:paraId="3D60891A">
            <w:pPr>
              <w:jc w:val="center"/>
              <w:rPr>
                <w:rFonts w:hint="eastAsia" w:ascii="宋体" w:hAnsi="宋体"/>
                <w:b/>
                <w:sz w:val="24"/>
              </w:rPr>
            </w:pPr>
            <w:r>
              <w:rPr>
                <w:rFonts w:hint="eastAsia" w:ascii="宋体" w:hAnsi="宋体"/>
                <w:b/>
                <w:sz w:val="24"/>
              </w:rPr>
              <w:t>名称</w:t>
            </w:r>
          </w:p>
        </w:tc>
        <w:tc>
          <w:tcPr>
            <w:tcW w:w="2626" w:type="dxa"/>
            <w:noWrap w:val="0"/>
            <w:vAlign w:val="center"/>
          </w:tcPr>
          <w:p w14:paraId="2A5D4B4D">
            <w:pPr>
              <w:jc w:val="center"/>
              <w:rPr>
                <w:rFonts w:hint="eastAsia" w:ascii="宋体" w:hAnsi="宋体"/>
                <w:b/>
                <w:sz w:val="24"/>
              </w:rPr>
            </w:pPr>
            <w:r>
              <w:rPr>
                <w:rFonts w:hint="eastAsia" w:ascii="宋体" w:hAnsi="宋体"/>
                <w:b/>
                <w:sz w:val="24"/>
              </w:rPr>
              <w:t>参数</w:t>
            </w:r>
          </w:p>
        </w:tc>
        <w:tc>
          <w:tcPr>
            <w:tcW w:w="1488" w:type="dxa"/>
            <w:noWrap w:val="0"/>
            <w:vAlign w:val="center"/>
          </w:tcPr>
          <w:p w14:paraId="4DC6EAF5">
            <w:pPr>
              <w:jc w:val="center"/>
              <w:rPr>
                <w:rFonts w:hint="eastAsia" w:ascii="宋体" w:hAnsi="宋体"/>
                <w:b/>
                <w:color w:val="0000FF"/>
                <w:sz w:val="24"/>
              </w:rPr>
            </w:pPr>
            <w:r>
              <w:rPr>
                <w:rFonts w:hint="eastAsia" w:ascii="宋体" w:hAnsi="宋体"/>
                <w:b/>
                <w:sz w:val="24"/>
              </w:rPr>
              <w:t>备注</w:t>
            </w:r>
          </w:p>
        </w:tc>
      </w:tr>
      <w:tr w14:paraId="66DCB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dxa"/>
        </w:trPr>
        <w:tc>
          <w:tcPr>
            <w:tcW w:w="900" w:type="dxa"/>
            <w:noWrap w:val="0"/>
            <w:vAlign w:val="center"/>
          </w:tcPr>
          <w:p w14:paraId="7D36D7DB">
            <w:pPr>
              <w:jc w:val="center"/>
              <w:rPr>
                <w:rFonts w:hint="eastAsia" w:ascii="宋体" w:hAnsi="宋体"/>
                <w:sz w:val="24"/>
              </w:rPr>
            </w:pPr>
            <w:r>
              <w:rPr>
                <w:rFonts w:hint="eastAsia" w:ascii="宋体" w:hAnsi="宋体"/>
                <w:sz w:val="24"/>
              </w:rPr>
              <w:t>1</w:t>
            </w:r>
          </w:p>
        </w:tc>
        <w:tc>
          <w:tcPr>
            <w:tcW w:w="2880" w:type="dxa"/>
            <w:noWrap w:val="0"/>
            <w:vAlign w:val="center"/>
          </w:tcPr>
          <w:p w14:paraId="69DBB954">
            <w:pPr>
              <w:spacing w:after="156" w:afterLines="50"/>
              <w:ind w:right="-63" w:rightChars="-30"/>
              <w:rPr>
                <w:rFonts w:hint="eastAsia" w:ascii="宋体" w:hAnsi="宋体"/>
                <w:sz w:val="24"/>
              </w:rPr>
            </w:pPr>
            <w:r>
              <w:rPr>
                <w:rFonts w:hint="eastAsia" w:ascii="Arial" w:hAnsi="宋体" w:cs="Arial"/>
              </w:rPr>
              <w:t>最大滚压力</w:t>
            </w:r>
          </w:p>
        </w:tc>
        <w:tc>
          <w:tcPr>
            <w:tcW w:w="2626" w:type="dxa"/>
            <w:noWrap w:val="0"/>
            <w:vAlign w:val="center"/>
          </w:tcPr>
          <w:p w14:paraId="142537BB">
            <w:pPr>
              <w:spacing w:after="156" w:afterLines="50"/>
              <w:ind w:right="-63" w:rightChars="-30"/>
              <w:rPr>
                <w:rFonts w:hint="eastAsia" w:ascii="宋体" w:hAnsi="宋体"/>
                <w:sz w:val="24"/>
              </w:rPr>
            </w:pPr>
            <w:r>
              <w:rPr>
                <w:rFonts w:hint="eastAsia" w:ascii="宋体" w:hAnsi="宋体" w:cs="Arial"/>
              </w:rPr>
              <w:t>≥125KN</w:t>
            </w:r>
          </w:p>
        </w:tc>
        <w:tc>
          <w:tcPr>
            <w:tcW w:w="1488" w:type="dxa"/>
            <w:noWrap w:val="0"/>
            <w:vAlign w:val="top"/>
          </w:tcPr>
          <w:p w14:paraId="6FA13AC8">
            <w:pPr>
              <w:rPr>
                <w:rFonts w:hint="eastAsia" w:ascii="宋体" w:hAnsi="宋体"/>
                <w:color w:val="0000FF"/>
                <w:sz w:val="24"/>
              </w:rPr>
            </w:pPr>
          </w:p>
        </w:tc>
      </w:tr>
      <w:tr w14:paraId="26E99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dxa"/>
          <w:trHeight w:val="306" w:hRule="atLeast"/>
        </w:trPr>
        <w:tc>
          <w:tcPr>
            <w:tcW w:w="900" w:type="dxa"/>
            <w:noWrap w:val="0"/>
            <w:vAlign w:val="center"/>
          </w:tcPr>
          <w:p w14:paraId="1E81863F">
            <w:pPr>
              <w:jc w:val="center"/>
              <w:rPr>
                <w:rFonts w:hint="eastAsia" w:ascii="宋体" w:hAnsi="宋体"/>
                <w:sz w:val="24"/>
              </w:rPr>
            </w:pPr>
            <w:r>
              <w:rPr>
                <w:rFonts w:hint="eastAsia" w:ascii="宋体" w:hAnsi="宋体"/>
                <w:sz w:val="24"/>
              </w:rPr>
              <w:t>2</w:t>
            </w:r>
          </w:p>
        </w:tc>
        <w:tc>
          <w:tcPr>
            <w:tcW w:w="2880" w:type="dxa"/>
            <w:noWrap w:val="0"/>
            <w:vAlign w:val="center"/>
          </w:tcPr>
          <w:p w14:paraId="51640D26">
            <w:pPr>
              <w:spacing w:after="156" w:afterLines="50"/>
              <w:ind w:right="-63" w:rightChars="-30"/>
              <w:rPr>
                <w:rFonts w:hint="eastAsia" w:ascii="宋体" w:hAnsi="宋体"/>
                <w:sz w:val="24"/>
              </w:rPr>
            </w:pPr>
            <w:r>
              <w:rPr>
                <w:rFonts w:hint="eastAsia" w:ascii="Arial" w:hAnsi="宋体" w:cs="Arial"/>
              </w:rPr>
              <w:t>两主轴中心距</w:t>
            </w:r>
          </w:p>
        </w:tc>
        <w:tc>
          <w:tcPr>
            <w:tcW w:w="2626" w:type="dxa"/>
            <w:noWrap w:val="0"/>
            <w:vAlign w:val="center"/>
          </w:tcPr>
          <w:p w14:paraId="7AB003F3">
            <w:pPr>
              <w:spacing w:after="156" w:afterLines="50"/>
              <w:ind w:right="-63" w:rightChars="-30"/>
              <w:rPr>
                <w:rFonts w:hint="eastAsia" w:ascii="宋体" w:hAnsi="宋体"/>
                <w:sz w:val="24"/>
              </w:rPr>
            </w:pPr>
            <w:r>
              <w:rPr>
                <w:rFonts w:hint="eastAsia" w:ascii="宋体" w:hAnsi="宋体" w:cs="Arial"/>
              </w:rPr>
              <w:t>≥160～220mm</w:t>
            </w:r>
          </w:p>
        </w:tc>
        <w:tc>
          <w:tcPr>
            <w:tcW w:w="1488" w:type="dxa"/>
            <w:noWrap w:val="0"/>
            <w:vAlign w:val="top"/>
          </w:tcPr>
          <w:p w14:paraId="7003DEA0">
            <w:pPr>
              <w:rPr>
                <w:rFonts w:hint="eastAsia" w:ascii="宋体" w:hAnsi="宋体"/>
                <w:color w:val="0000FF"/>
                <w:sz w:val="24"/>
              </w:rPr>
            </w:pPr>
          </w:p>
        </w:tc>
      </w:tr>
      <w:tr w14:paraId="76BFE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dxa"/>
          <w:trHeight w:val="345" w:hRule="atLeast"/>
        </w:trPr>
        <w:tc>
          <w:tcPr>
            <w:tcW w:w="900" w:type="dxa"/>
            <w:noWrap w:val="0"/>
            <w:vAlign w:val="center"/>
          </w:tcPr>
          <w:p w14:paraId="7C8A4582">
            <w:pPr>
              <w:jc w:val="center"/>
              <w:rPr>
                <w:rFonts w:hint="eastAsia" w:ascii="宋体" w:hAnsi="宋体"/>
                <w:sz w:val="24"/>
              </w:rPr>
            </w:pPr>
            <w:r>
              <w:rPr>
                <w:rFonts w:hint="eastAsia" w:ascii="宋体" w:hAnsi="宋体"/>
                <w:sz w:val="24"/>
              </w:rPr>
              <w:t>3</w:t>
            </w:r>
          </w:p>
        </w:tc>
        <w:tc>
          <w:tcPr>
            <w:tcW w:w="2880" w:type="dxa"/>
            <w:noWrap w:val="0"/>
            <w:vAlign w:val="center"/>
          </w:tcPr>
          <w:p w14:paraId="58B67B5D">
            <w:pPr>
              <w:spacing w:after="156" w:afterLines="50"/>
              <w:ind w:right="-63" w:rightChars="-30"/>
              <w:rPr>
                <w:rFonts w:hint="eastAsia" w:ascii="Arial" w:hAnsi="宋体" w:cs="Arial"/>
              </w:rPr>
            </w:pPr>
            <w:r>
              <w:rPr>
                <w:rFonts w:hint="eastAsia" w:ascii="Arial" w:hAnsi="宋体" w:cs="Arial"/>
              </w:rPr>
              <w:t>滚轮轴直径</w:t>
            </w:r>
          </w:p>
        </w:tc>
        <w:tc>
          <w:tcPr>
            <w:tcW w:w="2626" w:type="dxa"/>
            <w:noWrap w:val="0"/>
            <w:vAlign w:val="center"/>
          </w:tcPr>
          <w:p w14:paraId="017B1181">
            <w:pPr>
              <w:spacing w:after="156" w:afterLines="50"/>
              <w:ind w:right="-63" w:rightChars="-30"/>
              <w:rPr>
                <w:rFonts w:hint="eastAsia" w:ascii="宋体" w:hAnsi="宋体" w:cs="Arial"/>
              </w:rPr>
            </w:pPr>
            <w:r>
              <w:rPr>
                <w:rFonts w:hint="eastAsia" w:ascii="宋体" w:hAnsi="宋体" w:cs="Arial"/>
              </w:rPr>
              <w:t>≥Φ54 mm</w:t>
            </w:r>
          </w:p>
        </w:tc>
        <w:tc>
          <w:tcPr>
            <w:tcW w:w="1488" w:type="dxa"/>
            <w:noWrap w:val="0"/>
            <w:vAlign w:val="top"/>
          </w:tcPr>
          <w:p w14:paraId="245579D9">
            <w:pPr>
              <w:rPr>
                <w:rFonts w:hint="eastAsia" w:ascii="宋体" w:hAnsi="宋体"/>
                <w:color w:val="0000FF"/>
                <w:sz w:val="24"/>
              </w:rPr>
            </w:pPr>
          </w:p>
        </w:tc>
      </w:tr>
      <w:tr w14:paraId="7A117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dxa"/>
          <w:trHeight w:val="345" w:hRule="atLeast"/>
        </w:trPr>
        <w:tc>
          <w:tcPr>
            <w:tcW w:w="900" w:type="dxa"/>
            <w:noWrap w:val="0"/>
            <w:vAlign w:val="center"/>
          </w:tcPr>
          <w:p w14:paraId="7EF0F0D1">
            <w:pPr>
              <w:jc w:val="center"/>
              <w:rPr>
                <w:rFonts w:hint="eastAsia" w:ascii="宋体" w:hAnsi="宋体"/>
                <w:sz w:val="24"/>
              </w:rPr>
            </w:pPr>
            <w:r>
              <w:rPr>
                <w:rFonts w:hint="eastAsia" w:ascii="宋体" w:hAnsi="宋体"/>
                <w:sz w:val="24"/>
              </w:rPr>
              <w:t>4</w:t>
            </w:r>
          </w:p>
        </w:tc>
        <w:tc>
          <w:tcPr>
            <w:tcW w:w="2880" w:type="dxa"/>
            <w:noWrap w:val="0"/>
            <w:vAlign w:val="center"/>
          </w:tcPr>
          <w:p w14:paraId="6E65F358">
            <w:pPr>
              <w:spacing w:after="156" w:afterLines="50"/>
              <w:ind w:right="-63" w:rightChars="-30"/>
              <w:rPr>
                <w:rFonts w:hint="eastAsia" w:ascii="Arial" w:hAnsi="宋体" w:cs="Arial"/>
              </w:rPr>
            </w:pPr>
            <w:r>
              <w:rPr>
                <w:rFonts w:hint="eastAsia" w:ascii="Arial" w:hAnsi="宋体" w:cs="Arial"/>
              </w:rPr>
              <w:t>主轴转速</w:t>
            </w:r>
          </w:p>
        </w:tc>
        <w:tc>
          <w:tcPr>
            <w:tcW w:w="2626" w:type="dxa"/>
            <w:noWrap w:val="0"/>
            <w:vAlign w:val="center"/>
          </w:tcPr>
          <w:p w14:paraId="0DE39FBA">
            <w:pPr>
              <w:spacing w:after="156" w:afterLines="50"/>
              <w:ind w:right="-63" w:rightChars="-30"/>
              <w:rPr>
                <w:rFonts w:hint="eastAsia" w:ascii="宋体" w:hAnsi="宋体" w:cs="Arial"/>
              </w:rPr>
            </w:pPr>
            <w:r>
              <w:rPr>
                <w:rFonts w:hint="eastAsia" w:ascii="宋体" w:hAnsi="宋体" w:cs="Arial"/>
              </w:rPr>
              <w:t>0～60r/min</w:t>
            </w:r>
          </w:p>
        </w:tc>
        <w:tc>
          <w:tcPr>
            <w:tcW w:w="1488" w:type="dxa"/>
            <w:noWrap w:val="0"/>
            <w:vAlign w:val="top"/>
          </w:tcPr>
          <w:p w14:paraId="74A5A1C9">
            <w:pPr>
              <w:rPr>
                <w:rFonts w:hint="eastAsia" w:ascii="宋体" w:hAnsi="宋体"/>
                <w:color w:val="0000FF"/>
                <w:sz w:val="24"/>
              </w:rPr>
            </w:pPr>
          </w:p>
        </w:tc>
      </w:tr>
      <w:tr w14:paraId="1DF82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dxa"/>
          <w:trHeight w:val="255" w:hRule="atLeast"/>
        </w:trPr>
        <w:tc>
          <w:tcPr>
            <w:tcW w:w="900" w:type="dxa"/>
            <w:noWrap w:val="0"/>
            <w:vAlign w:val="center"/>
          </w:tcPr>
          <w:p w14:paraId="6607F865">
            <w:pPr>
              <w:jc w:val="center"/>
              <w:rPr>
                <w:rFonts w:hint="eastAsia" w:ascii="宋体" w:hAnsi="宋体"/>
                <w:sz w:val="24"/>
              </w:rPr>
            </w:pPr>
            <w:r>
              <w:rPr>
                <w:rFonts w:hint="eastAsia" w:ascii="宋体" w:hAnsi="宋体"/>
                <w:sz w:val="24"/>
              </w:rPr>
              <w:t>5</w:t>
            </w:r>
          </w:p>
        </w:tc>
        <w:tc>
          <w:tcPr>
            <w:tcW w:w="2880" w:type="dxa"/>
            <w:noWrap w:val="0"/>
            <w:vAlign w:val="center"/>
          </w:tcPr>
          <w:p w14:paraId="5894EB30">
            <w:pPr>
              <w:spacing w:after="156" w:afterLines="50"/>
              <w:ind w:right="-63" w:rightChars="-30"/>
              <w:rPr>
                <w:rFonts w:hint="eastAsia" w:ascii="Arial" w:hAnsi="宋体" w:cs="Arial"/>
              </w:rPr>
            </w:pPr>
            <w:r>
              <w:rPr>
                <w:rFonts w:hint="eastAsia" w:ascii="Arial" w:hAnsi="宋体" w:cs="Arial"/>
              </w:rPr>
              <w:t>液压进给速度</w:t>
            </w:r>
          </w:p>
        </w:tc>
        <w:tc>
          <w:tcPr>
            <w:tcW w:w="2626" w:type="dxa"/>
            <w:noWrap w:val="0"/>
            <w:vAlign w:val="center"/>
          </w:tcPr>
          <w:p w14:paraId="616D1BE0">
            <w:pPr>
              <w:spacing w:after="156" w:afterLines="50"/>
              <w:ind w:right="-63" w:rightChars="-30"/>
              <w:rPr>
                <w:rFonts w:hint="eastAsia" w:ascii="宋体" w:hAnsi="宋体" w:cs="Arial"/>
              </w:rPr>
            </w:pPr>
            <w:r>
              <w:rPr>
                <w:rFonts w:hint="eastAsia" w:ascii="宋体" w:hAnsi="宋体" w:cs="Arial"/>
              </w:rPr>
              <w:t>≥0～4mm/s</w:t>
            </w:r>
          </w:p>
        </w:tc>
        <w:tc>
          <w:tcPr>
            <w:tcW w:w="1488" w:type="dxa"/>
            <w:noWrap w:val="0"/>
            <w:vAlign w:val="top"/>
          </w:tcPr>
          <w:p w14:paraId="31C20A55">
            <w:pPr>
              <w:rPr>
                <w:rFonts w:hint="eastAsia" w:ascii="宋体" w:hAnsi="宋体"/>
                <w:color w:val="0000FF"/>
                <w:sz w:val="24"/>
              </w:rPr>
            </w:pPr>
          </w:p>
        </w:tc>
      </w:tr>
      <w:tr w14:paraId="2FF02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dxa"/>
          <w:trHeight w:val="255" w:hRule="atLeast"/>
        </w:trPr>
        <w:tc>
          <w:tcPr>
            <w:tcW w:w="900" w:type="dxa"/>
            <w:noWrap w:val="0"/>
            <w:vAlign w:val="center"/>
          </w:tcPr>
          <w:p w14:paraId="1BBF1E29">
            <w:pPr>
              <w:jc w:val="center"/>
              <w:rPr>
                <w:rFonts w:hint="eastAsia" w:ascii="宋体" w:hAnsi="宋体"/>
                <w:sz w:val="24"/>
              </w:rPr>
            </w:pPr>
            <w:r>
              <w:rPr>
                <w:rFonts w:hint="eastAsia" w:ascii="宋体" w:hAnsi="宋体"/>
                <w:sz w:val="24"/>
              </w:rPr>
              <w:t>6</w:t>
            </w:r>
          </w:p>
        </w:tc>
        <w:tc>
          <w:tcPr>
            <w:tcW w:w="2880" w:type="dxa"/>
            <w:noWrap w:val="0"/>
            <w:vAlign w:val="center"/>
          </w:tcPr>
          <w:p w14:paraId="1B806C24">
            <w:pPr>
              <w:spacing w:after="156" w:afterLines="50"/>
              <w:ind w:right="-63" w:rightChars="-30"/>
              <w:rPr>
                <w:rFonts w:hint="eastAsia" w:ascii="Arial" w:hAnsi="宋体" w:cs="Arial"/>
              </w:rPr>
            </w:pPr>
            <w:r>
              <w:rPr>
                <w:rFonts w:hint="eastAsia" w:ascii="Arial" w:hAnsi="宋体" w:cs="Arial"/>
              </w:rPr>
              <w:t>主电机功率</w:t>
            </w:r>
          </w:p>
        </w:tc>
        <w:tc>
          <w:tcPr>
            <w:tcW w:w="2626" w:type="dxa"/>
            <w:noWrap w:val="0"/>
            <w:vAlign w:val="center"/>
          </w:tcPr>
          <w:p w14:paraId="4CCFC7A6">
            <w:pPr>
              <w:spacing w:after="156" w:afterLines="50"/>
              <w:ind w:right="-63" w:rightChars="-30"/>
              <w:rPr>
                <w:rFonts w:hint="eastAsia" w:ascii="宋体" w:hAnsi="宋体" w:cs="Arial"/>
              </w:rPr>
            </w:pPr>
            <w:r>
              <w:rPr>
                <w:rFonts w:hint="eastAsia" w:ascii="宋体" w:hAnsi="宋体" w:cs="Arial"/>
              </w:rPr>
              <w:t>≥4.0KW</w:t>
            </w:r>
          </w:p>
        </w:tc>
        <w:tc>
          <w:tcPr>
            <w:tcW w:w="1488" w:type="dxa"/>
            <w:noWrap w:val="0"/>
            <w:vAlign w:val="top"/>
          </w:tcPr>
          <w:p w14:paraId="30FBEB7E">
            <w:pPr>
              <w:rPr>
                <w:rFonts w:hint="eastAsia" w:ascii="宋体" w:hAnsi="宋体"/>
                <w:color w:val="0000FF"/>
                <w:sz w:val="24"/>
              </w:rPr>
            </w:pPr>
          </w:p>
        </w:tc>
      </w:tr>
      <w:tr w14:paraId="095F5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dxa"/>
          <w:trHeight w:val="255" w:hRule="atLeast"/>
        </w:trPr>
        <w:tc>
          <w:tcPr>
            <w:tcW w:w="900" w:type="dxa"/>
            <w:noWrap w:val="0"/>
            <w:vAlign w:val="center"/>
          </w:tcPr>
          <w:p w14:paraId="6FF7E99B">
            <w:pPr>
              <w:jc w:val="center"/>
              <w:rPr>
                <w:rFonts w:hint="eastAsia" w:ascii="宋体" w:hAnsi="宋体"/>
                <w:sz w:val="24"/>
              </w:rPr>
            </w:pPr>
            <w:r>
              <w:rPr>
                <w:rFonts w:hint="eastAsia" w:ascii="宋体" w:hAnsi="宋体"/>
                <w:sz w:val="24"/>
              </w:rPr>
              <w:t>7</w:t>
            </w:r>
          </w:p>
        </w:tc>
        <w:tc>
          <w:tcPr>
            <w:tcW w:w="2880" w:type="dxa"/>
            <w:noWrap w:val="0"/>
            <w:vAlign w:val="center"/>
          </w:tcPr>
          <w:p w14:paraId="1AE6B752">
            <w:pPr>
              <w:spacing w:after="156" w:afterLines="50"/>
              <w:ind w:right="-63" w:rightChars="-30"/>
              <w:rPr>
                <w:rFonts w:hint="eastAsia" w:ascii="Arial" w:hAnsi="宋体" w:cs="Arial"/>
              </w:rPr>
            </w:pPr>
            <w:r>
              <w:rPr>
                <w:rFonts w:hint="eastAsia" w:ascii="Arial" w:hAnsi="宋体" w:cs="Arial"/>
              </w:rPr>
              <w:t>液压行程</w:t>
            </w:r>
          </w:p>
        </w:tc>
        <w:tc>
          <w:tcPr>
            <w:tcW w:w="2626" w:type="dxa"/>
            <w:noWrap w:val="0"/>
            <w:vAlign w:val="center"/>
          </w:tcPr>
          <w:p w14:paraId="12507804">
            <w:pPr>
              <w:spacing w:after="156" w:afterLines="50"/>
              <w:ind w:right="-63" w:rightChars="-30"/>
              <w:rPr>
                <w:rFonts w:hint="eastAsia" w:ascii="宋体" w:hAnsi="宋体" w:cs="Arial"/>
              </w:rPr>
            </w:pPr>
            <w:r>
              <w:rPr>
                <w:rFonts w:hint="eastAsia" w:ascii="宋体" w:hAnsi="宋体" w:cs="Arial"/>
              </w:rPr>
              <w:t>≥12mm</w:t>
            </w:r>
          </w:p>
        </w:tc>
        <w:tc>
          <w:tcPr>
            <w:tcW w:w="1488" w:type="dxa"/>
            <w:noWrap w:val="0"/>
            <w:vAlign w:val="top"/>
          </w:tcPr>
          <w:p w14:paraId="59D0C2E3">
            <w:pPr>
              <w:rPr>
                <w:rFonts w:hint="eastAsia" w:ascii="宋体" w:hAnsi="宋体"/>
                <w:color w:val="0000FF"/>
                <w:sz w:val="24"/>
              </w:rPr>
            </w:pPr>
          </w:p>
        </w:tc>
      </w:tr>
      <w:tr w14:paraId="5E727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dxa"/>
          <w:trHeight w:val="315" w:hRule="atLeast"/>
        </w:trPr>
        <w:tc>
          <w:tcPr>
            <w:tcW w:w="900" w:type="dxa"/>
            <w:noWrap w:val="0"/>
            <w:vAlign w:val="center"/>
          </w:tcPr>
          <w:p w14:paraId="73F75CDC">
            <w:pPr>
              <w:jc w:val="center"/>
              <w:rPr>
                <w:rFonts w:hint="eastAsia" w:ascii="宋体" w:hAnsi="宋体"/>
                <w:sz w:val="24"/>
              </w:rPr>
            </w:pPr>
            <w:r>
              <w:rPr>
                <w:rFonts w:hint="eastAsia" w:ascii="宋体" w:hAnsi="宋体"/>
                <w:sz w:val="24"/>
              </w:rPr>
              <w:t>8</w:t>
            </w:r>
          </w:p>
        </w:tc>
        <w:tc>
          <w:tcPr>
            <w:tcW w:w="2880" w:type="dxa"/>
            <w:noWrap w:val="0"/>
            <w:vAlign w:val="center"/>
          </w:tcPr>
          <w:p w14:paraId="02B3111C">
            <w:pPr>
              <w:spacing w:after="156" w:afterLines="50"/>
              <w:ind w:right="-63" w:rightChars="-30"/>
              <w:rPr>
                <w:rFonts w:hint="eastAsia" w:ascii="Arial" w:hAnsi="宋体" w:cs="Arial"/>
              </w:rPr>
            </w:pPr>
            <w:r>
              <w:rPr>
                <w:rFonts w:hint="eastAsia" w:ascii="Arial" w:hAnsi="宋体" w:cs="Arial"/>
              </w:rPr>
              <w:t>滚轮最大直径</w:t>
            </w:r>
          </w:p>
        </w:tc>
        <w:tc>
          <w:tcPr>
            <w:tcW w:w="2626" w:type="dxa"/>
            <w:noWrap w:val="0"/>
            <w:vAlign w:val="center"/>
          </w:tcPr>
          <w:p w14:paraId="3612A3D6">
            <w:pPr>
              <w:spacing w:after="156" w:afterLines="50"/>
              <w:ind w:right="-63" w:rightChars="-30"/>
              <w:rPr>
                <w:rFonts w:hint="eastAsia" w:ascii="宋体" w:hAnsi="宋体" w:cs="Arial"/>
              </w:rPr>
            </w:pPr>
            <w:r>
              <w:rPr>
                <w:rFonts w:hint="eastAsia" w:ascii="宋体" w:hAnsi="宋体" w:cs="Arial"/>
              </w:rPr>
              <w:t>≥Φ160 mm</w:t>
            </w:r>
          </w:p>
        </w:tc>
        <w:tc>
          <w:tcPr>
            <w:tcW w:w="1488" w:type="dxa"/>
            <w:noWrap w:val="0"/>
            <w:vAlign w:val="top"/>
          </w:tcPr>
          <w:p w14:paraId="711D21AE">
            <w:pPr>
              <w:rPr>
                <w:rFonts w:hint="eastAsia" w:ascii="宋体" w:hAnsi="宋体"/>
                <w:color w:val="0000FF"/>
                <w:sz w:val="24"/>
              </w:rPr>
            </w:pPr>
          </w:p>
        </w:tc>
      </w:tr>
      <w:tr w14:paraId="369B0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dxa"/>
          <w:trHeight w:val="315" w:hRule="atLeast"/>
        </w:trPr>
        <w:tc>
          <w:tcPr>
            <w:tcW w:w="900" w:type="dxa"/>
            <w:noWrap w:val="0"/>
            <w:vAlign w:val="center"/>
          </w:tcPr>
          <w:p w14:paraId="45CCBE16">
            <w:pPr>
              <w:jc w:val="center"/>
              <w:rPr>
                <w:rFonts w:hint="eastAsia" w:ascii="宋体" w:hAnsi="宋体"/>
                <w:sz w:val="24"/>
              </w:rPr>
            </w:pPr>
            <w:r>
              <w:rPr>
                <w:rFonts w:hint="eastAsia" w:ascii="宋体" w:hAnsi="宋体"/>
                <w:sz w:val="24"/>
              </w:rPr>
              <w:t>9</w:t>
            </w:r>
          </w:p>
        </w:tc>
        <w:tc>
          <w:tcPr>
            <w:tcW w:w="2880" w:type="dxa"/>
            <w:noWrap w:val="0"/>
            <w:vAlign w:val="center"/>
          </w:tcPr>
          <w:p w14:paraId="510313D7">
            <w:pPr>
              <w:spacing w:after="156" w:afterLines="50"/>
              <w:ind w:right="-63" w:rightChars="-30"/>
              <w:rPr>
                <w:rFonts w:hint="eastAsia" w:ascii="Arial" w:hAnsi="宋体" w:cs="Arial"/>
              </w:rPr>
            </w:pPr>
            <w:r>
              <w:rPr>
                <w:rFonts w:hint="eastAsia" w:ascii="Arial" w:hAnsi="宋体" w:cs="Arial"/>
              </w:rPr>
              <w:t>滚轮最大宽度</w:t>
            </w:r>
          </w:p>
        </w:tc>
        <w:tc>
          <w:tcPr>
            <w:tcW w:w="2626" w:type="dxa"/>
            <w:noWrap w:val="0"/>
            <w:vAlign w:val="center"/>
          </w:tcPr>
          <w:p w14:paraId="5EC1852C">
            <w:pPr>
              <w:spacing w:after="156" w:afterLines="50"/>
              <w:ind w:right="-63" w:rightChars="-30"/>
              <w:rPr>
                <w:rFonts w:hint="eastAsia" w:ascii="宋体" w:hAnsi="宋体" w:cs="Arial"/>
              </w:rPr>
            </w:pPr>
            <w:r>
              <w:rPr>
                <w:rFonts w:hint="eastAsia" w:ascii="宋体" w:hAnsi="宋体" w:cs="Arial"/>
              </w:rPr>
              <w:t>≥120 mm</w:t>
            </w:r>
          </w:p>
        </w:tc>
        <w:tc>
          <w:tcPr>
            <w:tcW w:w="1488" w:type="dxa"/>
            <w:noWrap w:val="0"/>
            <w:vAlign w:val="top"/>
          </w:tcPr>
          <w:p w14:paraId="2EE4E7BC">
            <w:pPr>
              <w:rPr>
                <w:rFonts w:hint="eastAsia" w:ascii="宋体" w:hAnsi="宋体"/>
                <w:color w:val="0000FF"/>
                <w:sz w:val="24"/>
              </w:rPr>
            </w:pPr>
          </w:p>
        </w:tc>
      </w:tr>
      <w:tr w14:paraId="5BE10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dxa"/>
          <w:trHeight w:val="315" w:hRule="atLeast"/>
        </w:trPr>
        <w:tc>
          <w:tcPr>
            <w:tcW w:w="900" w:type="dxa"/>
            <w:noWrap w:val="0"/>
            <w:vAlign w:val="center"/>
          </w:tcPr>
          <w:p w14:paraId="7F9B96BE">
            <w:pPr>
              <w:jc w:val="center"/>
              <w:rPr>
                <w:rFonts w:hint="eastAsia" w:ascii="宋体" w:hAnsi="宋体"/>
                <w:sz w:val="24"/>
              </w:rPr>
            </w:pPr>
            <w:r>
              <w:rPr>
                <w:rFonts w:hint="eastAsia" w:ascii="宋体" w:hAnsi="宋体"/>
                <w:sz w:val="24"/>
              </w:rPr>
              <w:t>10</w:t>
            </w:r>
          </w:p>
        </w:tc>
        <w:tc>
          <w:tcPr>
            <w:tcW w:w="2880" w:type="dxa"/>
            <w:noWrap w:val="0"/>
            <w:vAlign w:val="center"/>
          </w:tcPr>
          <w:p w14:paraId="5165ED62">
            <w:pPr>
              <w:spacing w:after="156" w:afterLines="50"/>
              <w:ind w:right="-63" w:rightChars="-30"/>
              <w:rPr>
                <w:rFonts w:hint="eastAsia" w:ascii="Arial" w:hAnsi="宋体" w:cs="Arial"/>
              </w:rPr>
            </w:pPr>
            <w:r>
              <w:rPr>
                <w:rFonts w:hint="eastAsia" w:ascii="Arial" w:hAnsi="宋体" w:cs="Arial"/>
              </w:rPr>
              <w:t>液压功率</w:t>
            </w:r>
          </w:p>
        </w:tc>
        <w:tc>
          <w:tcPr>
            <w:tcW w:w="2626" w:type="dxa"/>
            <w:noWrap w:val="0"/>
            <w:vAlign w:val="center"/>
          </w:tcPr>
          <w:p w14:paraId="5E6C9D90">
            <w:pPr>
              <w:spacing w:after="156" w:afterLines="50"/>
              <w:ind w:right="-63" w:rightChars="-30"/>
              <w:rPr>
                <w:rFonts w:hint="eastAsia" w:ascii="宋体" w:hAnsi="宋体" w:cs="Arial"/>
              </w:rPr>
            </w:pPr>
            <w:r>
              <w:rPr>
                <w:rFonts w:hint="eastAsia" w:ascii="宋体" w:hAnsi="宋体" w:cs="Arial"/>
              </w:rPr>
              <w:t>≥1KW</w:t>
            </w:r>
          </w:p>
        </w:tc>
        <w:tc>
          <w:tcPr>
            <w:tcW w:w="1488" w:type="dxa"/>
            <w:noWrap w:val="0"/>
            <w:vAlign w:val="top"/>
          </w:tcPr>
          <w:p w14:paraId="6C10C540">
            <w:pPr>
              <w:rPr>
                <w:rFonts w:hint="eastAsia" w:ascii="宋体" w:hAnsi="宋体"/>
                <w:color w:val="0000FF"/>
                <w:sz w:val="24"/>
              </w:rPr>
            </w:pPr>
          </w:p>
        </w:tc>
      </w:tr>
    </w:tbl>
    <w:p w14:paraId="48D90563">
      <w:pPr>
        <w:jc w:val="left"/>
        <w:rPr>
          <w:rFonts w:hint="eastAsia" w:ascii="宋体" w:hAnsi="宋体"/>
          <w:b/>
          <w:sz w:val="24"/>
        </w:rPr>
      </w:pPr>
      <w:r>
        <w:rPr>
          <w:rFonts w:hint="eastAsia"/>
        </w:rPr>
        <w:t xml:space="preserve">    </w:t>
      </w:r>
      <w:r>
        <w:rPr>
          <w:rFonts w:hint="eastAsia" w:ascii="宋体" w:hAnsi="宋体"/>
          <w:b/>
          <w:sz w:val="24"/>
        </w:rPr>
        <w:t xml:space="preserve"> </w:t>
      </w:r>
    </w:p>
    <w:p w14:paraId="02964524">
      <w:pPr>
        <w:jc w:val="left"/>
        <w:rPr>
          <w:rFonts w:hint="eastAsia" w:ascii="宋体" w:hAnsi="宋体"/>
          <w:b/>
          <w:sz w:val="24"/>
        </w:rPr>
      </w:pPr>
      <w:r>
        <w:rPr>
          <w:rFonts w:hint="eastAsia" w:ascii="宋体" w:hAnsi="宋体"/>
          <w:b/>
          <w:sz w:val="24"/>
        </w:rPr>
        <w:t>5、设备主要结构及性能简述</w:t>
      </w:r>
    </w:p>
    <w:p w14:paraId="59DD7701">
      <w:pPr>
        <w:jc w:val="left"/>
        <w:rPr>
          <w:rFonts w:hint="eastAsia"/>
          <w:sz w:val="24"/>
        </w:rPr>
      </w:pPr>
      <w:r>
        <w:rPr>
          <w:rFonts w:hint="eastAsia"/>
        </w:rPr>
        <w:t xml:space="preserve">     </w:t>
      </w:r>
      <w:r>
        <w:rPr>
          <w:rFonts w:hint="eastAsia"/>
          <w:sz w:val="24"/>
        </w:rPr>
        <w:t>该设备主要由床身、传动系统、进给系统、电气控制系统及液压系统等部分组成。</w:t>
      </w:r>
    </w:p>
    <w:p w14:paraId="1E2E0C53">
      <w:pPr>
        <w:rPr>
          <w:rFonts w:hint="eastAsia" w:ascii="宋体" w:hAnsi="宋体"/>
          <w:sz w:val="24"/>
        </w:rPr>
      </w:pPr>
      <w:r>
        <w:rPr>
          <w:rFonts w:hint="eastAsia"/>
        </w:rPr>
        <w:t xml:space="preserve">     </w:t>
      </w:r>
      <w:r>
        <w:rPr>
          <w:rFonts w:hint="eastAsia" w:ascii="宋体" w:hAnsi="宋体"/>
          <w:sz w:val="24"/>
        </w:rPr>
        <w:t>5.1床身：床身用于安装设备各个部件，要求采用优质铸铁制造，并经人工时效、去应力处理，以确保设备的稳定性和刚性；</w:t>
      </w:r>
    </w:p>
    <w:p w14:paraId="26043450">
      <w:pPr>
        <w:rPr>
          <w:rFonts w:hint="eastAsia" w:ascii="宋体" w:hAnsi="宋体"/>
          <w:sz w:val="24"/>
        </w:rPr>
      </w:pPr>
      <w:r>
        <w:rPr>
          <w:rFonts w:hint="eastAsia" w:ascii="宋体" w:hAnsi="宋体"/>
          <w:sz w:val="24"/>
        </w:rPr>
        <w:t xml:space="preserve">    5.2传动系统：传动系统由主电机、传动齿轮和变速箱等组成，要求设备具有传动高效、平稳且不易磨损等特点，同时设备运转时声音应均匀，不应有不规则的冲击声和周期性的尖叫声，确保设备在长期负载工作保持高精度运转。并可根据产品滚压要求选择所需不同转速。</w:t>
      </w:r>
    </w:p>
    <w:p w14:paraId="56F2AF8C">
      <w:pPr>
        <w:rPr>
          <w:rFonts w:hint="eastAsia" w:ascii="宋体" w:hAnsi="宋体"/>
          <w:sz w:val="24"/>
        </w:rPr>
      </w:pPr>
      <w:r>
        <w:rPr>
          <w:rFonts w:hint="eastAsia" w:ascii="宋体" w:hAnsi="宋体"/>
          <w:sz w:val="24"/>
        </w:rPr>
        <w:t xml:space="preserve">    5.3液压进给系统：根据轴承滚压工艺要求，设备液压进给系统应运行平稳、可靠，进给精度高，以保证完成滚压工艺：进给→滚压→退回→停歇等循环动作顺利、平稳、可靠。</w:t>
      </w:r>
    </w:p>
    <w:p w14:paraId="56F9524D">
      <w:pPr>
        <w:spacing w:after="156" w:afterLines="50"/>
        <w:rPr>
          <w:rFonts w:hint="eastAsia" w:ascii="宋体" w:hAnsi="宋体"/>
          <w:sz w:val="24"/>
        </w:rPr>
      </w:pPr>
      <w:r>
        <w:rPr>
          <w:rFonts w:hint="eastAsia" w:ascii="宋体" w:hAnsi="宋体"/>
          <w:sz w:val="24"/>
        </w:rPr>
        <w:t xml:space="preserve">    5.4电气系统：要求机床各项动作灵敏、可靠，操作按钮方便操作人员操作，设备装有急停按钮。同时要求设备可实现自动、半自动及手动三种操作方式。</w:t>
      </w:r>
    </w:p>
    <w:p w14:paraId="5485AD23">
      <w:pPr>
        <w:rPr>
          <w:rFonts w:hint="eastAsia"/>
          <w:b/>
          <w:color w:val="000000"/>
          <w:sz w:val="24"/>
        </w:rPr>
      </w:pPr>
      <w:r>
        <w:rPr>
          <w:rFonts w:hint="eastAsia"/>
          <w:b/>
          <w:color w:val="000000"/>
          <w:sz w:val="24"/>
        </w:rPr>
        <w:t>6．其它要求：</w:t>
      </w:r>
    </w:p>
    <w:p w14:paraId="5AD84073">
      <w:pPr>
        <w:rPr>
          <w:rFonts w:hint="eastAsia"/>
          <w:sz w:val="24"/>
        </w:rPr>
      </w:pPr>
      <w:r>
        <w:rPr>
          <w:rFonts w:hint="eastAsia" w:ascii="宋体" w:hAnsi="宋体"/>
          <w:b/>
          <w:color w:val="000000"/>
          <w:sz w:val="24"/>
        </w:rPr>
        <w:t>①</w:t>
      </w:r>
      <w:r>
        <w:rPr>
          <w:rFonts w:hint="eastAsia"/>
          <w:sz w:val="24"/>
        </w:rPr>
        <w:t>设备防护性好，不存在漏水、漏油等三漏现象；</w:t>
      </w:r>
    </w:p>
    <w:p w14:paraId="0B9A7E60">
      <w:pPr>
        <w:rPr>
          <w:rFonts w:hint="eastAsia" w:ascii="宋体" w:hAnsi="宋体"/>
          <w:sz w:val="24"/>
        </w:rPr>
      </w:pPr>
      <w:r>
        <w:rPr>
          <w:rFonts w:hint="eastAsia" w:ascii="宋体" w:hAnsi="宋体"/>
          <w:sz w:val="24"/>
        </w:rPr>
        <w:t>②</w:t>
      </w:r>
      <w:r>
        <w:rPr>
          <w:rFonts w:hint="eastAsia" w:ascii="宋体" w:cs="宋体"/>
          <w:sz w:val="24"/>
          <w:lang w:val="zh-CN"/>
        </w:rPr>
        <w:t>需方提供一路电源到供方主控柜，供方需提供设备用电负荷（或用电功率）及电源柜图纸；有多台设备或控制柜组成的生产线，主控柜到分控柜之间连接电缆由供方负责。如有特殊情况，供需双方合同签订之前另行商议。</w:t>
      </w:r>
    </w:p>
    <w:p w14:paraId="5C2E3769">
      <w:pPr>
        <w:rPr>
          <w:rFonts w:hint="eastAsia"/>
          <w:sz w:val="24"/>
        </w:rPr>
      </w:pPr>
      <w:r>
        <w:rPr>
          <w:rFonts w:hint="eastAsia" w:ascii="宋体" w:hAnsi="宋体"/>
          <w:sz w:val="24"/>
        </w:rPr>
        <w:t>③</w:t>
      </w:r>
      <w:r>
        <w:rPr>
          <w:rFonts w:hint="eastAsia"/>
          <w:bCs/>
          <w:sz w:val="24"/>
        </w:rPr>
        <w:t>机床电气柜内电气元件标识要求：</w:t>
      </w:r>
      <w:r>
        <w:rPr>
          <w:rFonts w:hint="eastAsia" w:ascii="宋体" w:hAnsi="宋体"/>
          <w:sz w:val="24"/>
        </w:rPr>
        <w:t>所有的电气元器件、电线都必须要求有唯一的标识，标识的内容要求和电气图纸资料中的标识相一致；电气元件标识位于电气元件正上方，除了标出与图纸一致的元件代号外，应标出终端负载（或控制下一层级）电气元件的中文名称，例如：</w:t>
      </w:r>
    </w:p>
    <w:p w14:paraId="32859FBB">
      <w:pPr>
        <w:numPr>
          <w:ilvl w:val="0"/>
          <w:numId w:val="1"/>
        </w:numPr>
        <w:spacing w:line="360" w:lineRule="auto"/>
        <w:ind w:left="850" w:firstLine="420"/>
        <w:rPr>
          <w:rFonts w:hint="eastAsia" w:ascii="宋体" w:hAnsi="宋体"/>
          <w:sz w:val="24"/>
        </w:rPr>
      </w:pPr>
      <w:r>
        <w:rPr>
          <w:rFonts w:hint="eastAsia" w:ascii="宋体" w:hAnsi="宋体"/>
          <w:sz w:val="24"/>
        </w:rPr>
        <w:t>断路器：除了在断路器实物正上方标出QF21外，还需中文标明终端负载名称“工件变频器”断路器，如下图1所示：</w:t>
      </w:r>
    </w:p>
    <w:p w14:paraId="3EA007B2">
      <w:pPr>
        <w:jc w:val="center"/>
        <w:rPr>
          <w:rFonts w:hint="eastAsia" w:ascii="宋体" w:hAnsi="宋体"/>
          <w:sz w:val="24"/>
        </w:rPr>
      </w:pPr>
      <w:r>
        <w:rPr>
          <w:rFonts w:hint="eastAsia" w:ascii="宋体" w:hAnsi="宋体"/>
          <w:sz w:val="24"/>
        </w:rPr>
        <w:drawing>
          <wp:inline distT="0" distB="0" distL="114300" distR="114300">
            <wp:extent cx="1181100" cy="447040"/>
            <wp:effectExtent l="0" t="0" r="0" b="10160"/>
            <wp:docPr id="1" name="图片 8" descr="图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descr="图111"/>
                    <pic:cNvPicPr>
                      <a:picLocks noChangeAspect="1"/>
                    </pic:cNvPicPr>
                  </pic:nvPicPr>
                  <pic:blipFill>
                    <a:blip r:embed="rId8"/>
                    <a:stretch>
                      <a:fillRect/>
                    </a:stretch>
                  </pic:blipFill>
                  <pic:spPr>
                    <a:xfrm>
                      <a:off x="0" y="0"/>
                      <a:ext cx="1181100" cy="447040"/>
                    </a:xfrm>
                    <a:prstGeom prst="rect">
                      <a:avLst/>
                    </a:prstGeom>
                    <a:solidFill>
                      <a:srgbClr val="FF99CC"/>
                    </a:solidFill>
                    <a:ln>
                      <a:noFill/>
                    </a:ln>
                  </pic:spPr>
                </pic:pic>
              </a:graphicData>
            </a:graphic>
          </wp:inline>
        </w:drawing>
      </w:r>
    </w:p>
    <w:p w14:paraId="250E0120">
      <w:pPr>
        <w:jc w:val="center"/>
        <w:rPr>
          <w:rFonts w:hint="eastAsia" w:ascii="宋体" w:hAnsi="宋体"/>
          <w:sz w:val="24"/>
        </w:rPr>
      </w:pPr>
      <w:r>
        <w:rPr>
          <w:rFonts w:hint="eastAsia" w:ascii="宋体" w:hAnsi="宋体"/>
          <w:sz w:val="24"/>
        </w:rPr>
        <w:t>图1</w:t>
      </w:r>
    </w:p>
    <w:p w14:paraId="6DD9F629">
      <w:pPr>
        <w:numPr>
          <w:ilvl w:val="0"/>
          <w:numId w:val="1"/>
        </w:numPr>
        <w:spacing w:line="360" w:lineRule="auto"/>
        <w:ind w:left="850" w:firstLine="420"/>
        <w:rPr>
          <w:rFonts w:hint="eastAsia" w:ascii="宋体" w:hAnsi="宋体"/>
          <w:sz w:val="24"/>
        </w:rPr>
      </w:pPr>
      <w:r>
        <w:rPr>
          <w:rFonts w:hint="eastAsia" w:ascii="宋体" w:hAnsi="宋体"/>
          <w:sz w:val="24"/>
        </w:rPr>
        <w:t>接触器：除了在接触器实物正上方标出KM1外，还需中文标明终端负载名称“油泵”接触器，如下图2所示：</w:t>
      </w:r>
    </w:p>
    <w:p w14:paraId="7D7322D9">
      <w:pPr>
        <w:jc w:val="center"/>
        <w:rPr>
          <w:rFonts w:hint="eastAsia" w:ascii="宋体" w:hAnsi="宋体"/>
          <w:sz w:val="24"/>
        </w:rPr>
      </w:pPr>
      <w:r>
        <w:rPr>
          <w:rFonts w:hint="eastAsia" w:ascii="宋体" w:hAnsi="宋体"/>
          <w:sz w:val="24"/>
        </w:rPr>
        <w:drawing>
          <wp:inline distT="0" distB="0" distL="114300" distR="114300">
            <wp:extent cx="1294130" cy="446405"/>
            <wp:effectExtent l="0" t="0" r="1270" b="10795"/>
            <wp:docPr id="2" name="图片 9"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9" descr="222"/>
                    <pic:cNvPicPr>
                      <a:picLocks noChangeAspect="1"/>
                    </pic:cNvPicPr>
                  </pic:nvPicPr>
                  <pic:blipFill>
                    <a:blip r:embed="rId9"/>
                    <a:stretch>
                      <a:fillRect/>
                    </a:stretch>
                  </pic:blipFill>
                  <pic:spPr>
                    <a:xfrm>
                      <a:off x="0" y="0"/>
                      <a:ext cx="1294130" cy="446405"/>
                    </a:xfrm>
                    <a:prstGeom prst="rect">
                      <a:avLst/>
                    </a:prstGeom>
                    <a:noFill/>
                    <a:ln>
                      <a:noFill/>
                    </a:ln>
                  </pic:spPr>
                </pic:pic>
              </a:graphicData>
            </a:graphic>
          </wp:inline>
        </w:drawing>
      </w:r>
    </w:p>
    <w:p w14:paraId="2992A4A7">
      <w:pPr>
        <w:jc w:val="center"/>
        <w:rPr>
          <w:rFonts w:hint="eastAsia" w:ascii="宋体" w:hAnsi="宋体"/>
          <w:sz w:val="24"/>
        </w:rPr>
      </w:pPr>
      <w:r>
        <w:rPr>
          <w:rFonts w:hint="eastAsia" w:ascii="宋体" w:hAnsi="宋体"/>
          <w:sz w:val="24"/>
        </w:rPr>
        <w:t>图2</w:t>
      </w:r>
    </w:p>
    <w:p w14:paraId="529359C1">
      <w:pPr>
        <w:numPr>
          <w:ilvl w:val="0"/>
          <w:numId w:val="1"/>
        </w:numPr>
        <w:spacing w:line="360" w:lineRule="auto"/>
        <w:ind w:left="850" w:firstLine="420"/>
        <w:rPr>
          <w:rFonts w:hint="eastAsia" w:ascii="宋体" w:hAnsi="宋体"/>
          <w:sz w:val="24"/>
        </w:rPr>
      </w:pPr>
      <w:r>
        <w:rPr>
          <w:rFonts w:hint="eastAsia" w:ascii="宋体" w:hAnsi="宋体"/>
          <w:sz w:val="24"/>
        </w:rPr>
        <w:t>中间继电器：除了在中间继电器实物正上方标出KA1外，还需中文标明终端负载或动作名称“工件启停”中间继电器，如下图3所示：</w:t>
      </w:r>
    </w:p>
    <w:p w14:paraId="44D0840F">
      <w:pPr>
        <w:jc w:val="center"/>
        <w:rPr>
          <w:rFonts w:hint="eastAsia" w:ascii="宋体" w:hAnsi="宋体"/>
          <w:sz w:val="24"/>
        </w:rPr>
      </w:pPr>
      <w:r>
        <w:rPr>
          <w:rFonts w:hint="eastAsia" w:ascii="宋体" w:hAnsi="宋体"/>
          <w:sz w:val="24"/>
        </w:rPr>
        <w:drawing>
          <wp:inline distT="0" distB="0" distL="114300" distR="114300">
            <wp:extent cx="1343025" cy="459740"/>
            <wp:effectExtent l="0" t="0" r="9525" b="16510"/>
            <wp:docPr id="3" name="图片 10" descr="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0" descr="333"/>
                    <pic:cNvPicPr>
                      <a:picLocks noChangeAspect="1"/>
                    </pic:cNvPicPr>
                  </pic:nvPicPr>
                  <pic:blipFill>
                    <a:blip r:embed="rId10"/>
                    <a:stretch>
                      <a:fillRect/>
                    </a:stretch>
                  </pic:blipFill>
                  <pic:spPr>
                    <a:xfrm>
                      <a:off x="0" y="0"/>
                      <a:ext cx="1343025" cy="459740"/>
                    </a:xfrm>
                    <a:prstGeom prst="rect">
                      <a:avLst/>
                    </a:prstGeom>
                    <a:noFill/>
                    <a:ln>
                      <a:noFill/>
                    </a:ln>
                  </pic:spPr>
                </pic:pic>
              </a:graphicData>
            </a:graphic>
          </wp:inline>
        </w:drawing>
      </w:r>
    </w:p>
    <w:p w14:paraId="15FAC802">
      <w:pPr>
        <w:jc w:val="center"/>
        <w:rPr>
          <w:rFonts w:hint="eastAsia" w:ascii="宋体" w:hAnsi="宋体"/>
          <w:sz w:val="24"/>
        </w:rPr>
      </w:pPr>
      <w:r>
        <w:rPr>
          <w:rFonts w:hint="eastAsia" w:ascii="宋体" w:hAnsi="宋体"/>
          <w:sz w:val="24"/>
        </w:rPr>
        <w:t>图3</w:t>
      </w:r>
    </w:p>
    <w:p w14:paraId="3ECC320B">
      <w:pPr>
        <w:spacing w:line="360" w:lineRule="auto"/>
        <w:jc w:val="center"/>
        <w:rPr>
          <w:rFonts w:hint="eastAsia"/>
          <w:sz w:val="28"/>
          <w:szCs w:val="28"/>
        </w:rPr>
      </w:pPr>
      <w:r>
        <w:rPr>
          <w:rFonts w:hint="eastAsia" w:ascii="宋体" w:hAnsi="宋体"/>
          <w:sz w:val="24"/>
        </w:rPr>
        <w:t>以此类推，其他电气元器件均参考此标识。另外电线接线端也必须有与电气图纸资料中的标识相一致线号标识。具体参考下图。</w:t>
      </w:r>
      <w:r>
        <w:rPr>
          <w:rFonts w:hint="eastAsia"/>
          <w:sz w:val="28"/>
          <w:szCs w:val="28"/>
        </w:rPr>
        <w:drawing>
          <wp:inline distT="0" distB="0" distL="114300" distR="114300">
            <wp:extent cx="4455160" cy="3187700"/>
            <wp:effectExtent l="0" t="0" r="2540" b="12700"/>
            <wp:docPr id="4" name="图片 5" descr="2整改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2整改后"/>
                    <pic:cNvPicPr>
                      <a:picLocks noChangeAspect="1"/>
                    </pic:cNvPicPr>
                  </pic:nvPicPr>
                  <pic:blipFill>
                    <a:blip r:embed="rId11"/>
                    <a:stretch>
                      <a:fillRect/>
                    </a:stretch>
                  </pic:blipFill>
                  <pic:spPr>
                    <a:xfrm>
                      <a:off x="0" y="0"/>
                      <a:ext cx="4455160" cy="3187700"/>
                    </a:xfrm>
                    <a:prstGeom prst="rect">
                      <a:avLst/>
                    </a:prstGeom>
                    <a:noFill/>
                    <a:ln>
                      <a:noFill/>
                    </a:ln>
                  </pic:spPr>
                </pic:pic>
              </a:graphicData>
            </a:graphic>
          </wp:inline>
        </w:drawing>
      </w:r>
    </w:p>
    <w:p w14:paraId="1F412BC0">
      <w:pPr>
        <w:spacing w:line="360" w:lineRule="auto"/>
        <w:ind w:firstLine="480" w:firstLineChars="200"/>
        <w:rPr>
          <w:rFonts w:hint="eastAsia"/>
          <w:sz w:val="24"/>
        </w:rPr>
      </w:pPr>
    </w:p>
    <w:p w14:paraId="0B00C09B">
      <w:pPr>
        <w:spacing w:line="360" w:lineRule="auto"/>
        <w:rPr>
          <w:rFonts w:hint="eastAsia"/>
          <w:b/>
          <w:sz w:val="28"/>
          <w:szCs w:val="28"/>
          <w:lang/>
        </w:rPr>
      </w:pPr>
      <w:r>
        <w:rPr>
          <w:rFonts w:hint="eastAsia"/>
          <w:b/>
          <w:sz w:val="28"/>
          <w:szCs w:val="28"/>
        </w:rPr>
        <w:t>三、</w:t>
      </w:r>
      <w:r>
        <w:rPr>
          <w:rFonts w:hint="eastAsia"/>
          <w:b/>
          <w:sz w:val="28"/>
          <w:szCs w:val="28"/>
          <w:lang/>
        </w:rPr>
        <w:t>设备主要配置要求</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2126"/>
        <w:gridCol w:w="3402"/>
        <w:gridCol w:w="3367"/>
      </w:tblGrid>
      <w:tr w14:paraId="5009F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dxa"/>
        </w:trPr>
        <w:tc>
          <w:tcPr>
            <w:tcW w:w="959" w:type="dxa"/>
            <w:noWrap w:val="0"/>
            <w:vAlign w:val="top"/>
          </w:tcPr>
          <w:p w14:paraId="739B63EC">
            <w:pPr>
              <w:spacing w:line="360" w:lineRule="auto"/>
              <w:jc w:val="center"/>
              <w:rPr>
                <w:rFonts w:hint="eastAsia"/>
                <w:color w:val="000000"/>
                <w:sz w:val="24"/>
              </w:rPr>
            </w:pPr>
            <w:r>
              <w:rPr>
                <w:rFonts w:hint="eastAsia"/>
                <w:color w:val="000000"/>
                <w:sz w:val="24"/>
              </w:rPr>
              <w:t>序号</w:t>
            </w:r>
          </w:p>
        </w:tc>
        <w:tc>
          <w:tcPr>
            <w:tcW w:w="2126" w:type="dxa"/>
            <w:noWrap w:val="0"/>
            <w:vAlign w:val="top"/>
          </w:tcPr>
          <w:p w14:paraId="570FA19C">
            <w:pPr>
              <w:spacing w:line="360" w:lineRule="auto"/>
              <w:jc w:val="center"/>
              <w:rPr>
                <w:rFonts w:hint="eastAsia"/>
                <w:color w:val="000000"/>
                <w:sz w:val="24"/>
              </w:rPr>
            </w:pPr>
            <w:r>
              <w:rPr>
                <w:rFonts w:hint="eastAsia"/>
                <w:color w:val="000000"/>
                <w:sz w:val="24"/>
              </w:rPr>
              <w:t>主要部件名称</w:t>
            </w:r>
          </w:p>
        </w:tc>
        <w:tc>
          <w:tcPr>
            <w:tcW w:w="3402" w:type="dxa"/>
            <w:noWrap w:val="0"/>
            <w:vAlign w:val="top"/>
          </w:tcPr>
          <w:p w14:paraId="64D9C647">
            <w:pPr>
              <w:spacing w:line="360" w:lineRule="auto"/>
              <w:jc w:val="center"/>
              <w:rPr>
                <w:rFonts w:hint="eastAsia"/>
                <w:color w:val="000000"/>
                <w:sz w:val="24"/>
              </w:rPr>
            </w:pPr>
            <w:r>
              <w:rPr>
                <w:rFonts w:hint="eastAsia"/>
                <w:color w:val="000000"/>
                <w:sz w:val="24"/>
              </w:rPr>
              <w:t>品牌</w:t>
            </w:r>
          </w:p>
        </w:tc>
        <w:tc>
          <w:tcPr>
            <w:tcW w:w="3367" w:type="dxa"/>
            <w:noWrap w:val="0"/>
            <w:vAlign w:val="top"/>
          </w:tcPr>
          <w:p w14:paraId="5AB3106A">
            <w:pPr>
              <w:spacing w:line="360" w:lineRule="auto"/>
              <w:jc w:val="center"/>
              <w:rPr>
                <w:rFonts w:hint="eastAsia"/>
                <w:color w:val="000000"/>
                <w:sz w:val="24"/>
              </w:rPr>
            </w:pPr>
            <w:r>
              <w:rPr>
                <w:rFonts w:hint="eastAsia"/>
                <w:color w:val="000000"/>
                <w:sz w:val="24"/>
              </w:rPr>
              <w:t>备注</w:t>
            </w:r>
          </w:p>
        </w:tc>
      </w:tr>
      <w:tr w14:paraId="19291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dxa"/>
        </w:trPr>
        <w:tc>
          <w:tcPr>
            <w:tcW w:w="959" w:type="dxa"/>
            <w:noWrap w:val="0"/>
            <w:vAlign w:val="top"/>
          </w:tcPr>
          <w:p w14:paraId="5D46D0D8">
            <w:pPr>
              <w:spacing w:line="360" w:lineRule="auto"/>
              <w:jc w:val="center"/>
              <w:rPr>
                <w:rFonts w:hint="eastAsia"/>
                <w:color w:val="000000"/>
                <w:sz w:val="24"/>
              </w:rPr>
            </w:pPr>
            <w:r>
              <w:rPr>
                <w:rFonts w:hint="eastAsia"/>
                <w:color w:val="000000"/>
                <w:sz w:val="24"/>
              </w:rPr>
              <w:t>1</w:t>
            </w:r>
          </w:p>
        </w:tc>
        <w:tc>
          <w:tcPr>
            <w:tcW w:w="2126" w:type="dxa"/>
            <w:noWrap w:val="0"/>
            <w:vAlign w:val="top"/>
          </w:tcPr>
          <w:p w14:paraId="03A8AA79">
            <w:pPr>
              <w:spacing w:line="360" w:lineRule="auto"/>
              <w:rPr>
                <w:rFonts w:hint="eastAsia"/>
                <w:color w:val="000000"/>
                <w:sz w:val="24"/>
              </w:rPr>
            </w:pPr>
            <w:r>
              <w:rPr>
                <w:rFonts w:hint="eastAsia"/>
                <w:color w:val="000000"/>
                <w:sz w:val="24"/>
              </w:rPr>
              <w:t>主轴轴承</w:t>
            </w:r>
          </w:p>
        </w:tc>
        <w:tc>
          <w:tcPr>
            <w:tcW w:w="3402" w:type="dxa"/>
            <w:noWrap w:val="0"/>
            <w:vAlign w:val="top"/>
          </w:tcPr>
          <w:p w14:paraId="026F93E3">
            <w:pPr>
              <w:spacing w:line="360" w:lineRule="auto"/>
              <w:rPr>
                <w:rFonts w:hint="eastAsia"/>
                <w:color w:val="000000"/>
                <w:sz w:val="24"/>
              </w:rPr>
            </w:pPr>
            <w:r>
              <w:rPr>
                <w:rFonts w:hint="eastAsia"/>
                <w:color w:val="000000"/>
                <w:sz w:val="24"/>
              </w:rPr>
              <w:t>IBC、FAG、SKF、NSK等</w:t>
            </w:r>
          </w:p>
        </w:tc>
        <w:tc>
          <w:tcPr>
            <w:tcW w:w="3367" w:type="dxa"/>
            <w:noWrap w:val="0"/>
            <w:vAlign w:val="top"/>
          </w:tcPr>
          <w:p w14:paraId="431A6A57">
            <w:pPr>
              <w:spacing w:line="360" w:lineRule="auto"/>
              <w:rPr>
                <w:rFonts w:hint="eastAsia"/>
                <w:color w:val="000000"/>
                <w:sz w:val="24"/>
              </w:rPr>
            </w:pPr>
            <w:r>
              <w:rPr>
                <w:rFonts w:hint="eastAsia"/>
                <w:color w:val="000000"/>
                <w:sz w:val="24"/>
              </w:rPr>
              <w:t>等同或优于或国内一线品牌</w:t>
            </w:r>
          </w:p>
        </w:tc>
      </w:tr>
      <w:tr w14:paraId="00014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dxa"/>
        </w:trPr>
        <w:tc>
          <w:tcPr>
            <w:tcW w:w="959" w:type="dxa"/>
            <w:noWrap w:val="0"/>
            <w:vAlign w:val="top"/>
          </w:tcPr>
          <w:p w14:paraId="1F13A999">
            <w:pPr>
              <w:spacing w:line="360" w:lineRule="auto"/>
              <w:jc w:val="center"/>
              <w:rPr>
                <w:rFonts w:hint="eastAsia"/>
                <w:color w:val="000000"/>
                <w:sz w:val="24"/>
              </w:rPr>
            </w:pPr>
            <w:r>
              <w:rPr>
                <w:rFonts w:hint="eastAsia"/>
                <w:color w:val="000000"/>
                <w:sz w:val="24"/>
              </w:rPr>
              <w:t>2</w:t>
            </w:r>
          </w:p>
        </w:tc>
        <w:tc>
          <w:tcPr>
            <w:tcW w:w="2126" w:type="dxa"/>
            <w:noWrap w:val="0"/>
            <w:vAlign w:val="top"/>
          </w:tcPr>
          <w:p w14:paraId="0530B244">
            <w:pPr>
              <w:spacing w:line="360" w:lineRule="auto"/>
              <w:rPr>
                <w:rFonts w:hint="eastAsia"/>
                <w:color w:val="000000"/>
                <w:sz w:val="24"/>
              </w:rPr>
            </w:pPr>
            <w:r>
              <w:rPr>
                <w:rFonts w:hint="eastAsia"/>
                <w:color w:val="000000"/>
                <w:sz w:val="24"/>
              </w:rPr>
              <w:t>液压油泵</w:t>
            </w:r>
          </w:p>
        </w:tc>
        <w:tc>
          <w:tcPr>
            <w:tcW w:w="3402" w:type="dxa"/>
            <w:noWrap w:val="0"/>
            <w:vAlign w:val="top"/>
          </w:tcPr>
          <w:p w14:paraId="142EEBF5">
            <w:pPr>
              <w:spacing w:line="360" w:lineRule="auto"/>
              <w:rPr>
                <w:rFonts w:hint="eastAsia"/>
                <w:color w:val="000000"/>
                <w:sz w:val="24"/>
              </w:rPr>
            </w:pPr>
            <w:r>
              <w:rPr>
                <w:rFonts w:hint="eastAsia"/>
                <w:color w:val="000000"/>
                <w:sz w:val="24"/>
              </w:rPr>
              <w:t>海特克、欧力德、派克、朝田等</w:t>
            </w:r>
          </w:p>
        </w:tc>
        <w:tc>
          <w:tcPr>
            <w:tcW w:w="3367" w:type="dxa"/>
            <w:noWrap w:val="0"/>
            <w:vAlign w:val="top"/>
          </w:tcPr>
          <w:p w14:paraId="45333298">
            <w:pPr>
              <w:spacing w:line="360" w:lineRule="auto"/>
              <w:rPr>
                <w:rFonts w:hint="eastAsia"/>
                <w:color w:val="000000"/>
                <w:sz w:val="24"/>
              </w:rPr>
            </w:pPr>
            <w:r>
              <w:rPr>
                <w:rFonts w:hint="eastAsia"/>
                <w:color w:val="000000"/>
                <w:sz w:val="24"/>
              </w:rPr>
              <w:t>等同或优于或国内一线品牌</w:t>
            </w:r>
          </w:p>
        </w:tc>
      </w:tr>
      <w:tr w14:paraId="49B78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dxa"/>
        </w:trPr>
        <w:tc>
          <w:tcPr>
            <w:tcW w:w="959" w:type="dxa"/>
            <w:noWrap w:val="0"/>
            <w:vAlign w:val="top"/>
          </w:tcPr>
          <w:p w14:paraId="04172DAC">
            <w:pPr>
              <w:spacing w:line="360" w:lineRule="auto"/>
              <w:jc w:val="center"/>
              <w:rPr>
                <w:rFonts w:hint="eastAsia"/>
                <w:color w:val="000000"/>
                <w:sz w:val="24"/>
              </w:rPr>
            </w:pPr>
            <w:r>
              <w:rPr>
                <w:rFonts w:hint="eastAsia"/>
                <w:color w:val="000000"/>
                <w:sz w:val="24"/>
              </w:rPr>
              <w:t>3</w:t>
            </w:r>
          </w:p>
        </w:tc>
        <w:tc>
          <w:tcPr>
            <w:tcW w:w="2126" w:type="dxa"/>
            <w:noWrap w:val="0"/>
            <w:vAlign w:val="top"/>
          </w:tcPr>
          <w:p w14:paraId="4C7AF99D">
            <w:pPr>
              <w:spacing w:line="360" w:lineRule="auto"/>
              <w:rPr>
                <w:rFonts w:hint="eastAsia"/>
                <w:color w:val="000000"/>
                <w:sz w:val="24"/>
              </w:rPr>
            </w:pPr>
            <w:r>
              <w:rPr>
                <w:rFonts w:hint="eastAsia"/>
                <w:color w:val="000000"/>
                <w:sz w:val="24"/>
              </w:rPr>
              <w:t>密封件</w:t>
            </w:r>
          </w:p>
        </w:tc>
        <w:tc>
          <w:tcPr>
            <w:tcW w:w="3402" w:type="dxa"/>
            <w:noWrap w:val="0"/>
            <w:vAlign w:val="top"/>
          </w:tcPr>
          <w:p w14:paraId="5996A7B7">
            <w:pPr>
              <w:spacing w:line="360" w:lineRule="auto"/>
              <w:rPr>
                <w:rFonts w:hint="eastAsia"/>
                <w:color w:val="000000"/>
                <w:sz w:val="24"/>
              </w:rPr>
            </w:pPr>
            <w:r>
              <w:rPr>
                <w:rFonts w:hint="eastAsia"/>
                <w:color w:val="000000"/>
                <w:sz w:val="24"/>
              </w:rPr>
              <w:t>NOK、鼎基、台湾EK等</w:t>
            </w:r>
          </w:p>
        </w:tc>
        <w:tc>
          <w:tcPr>
            <w:tcW w:w="3367" w:type="dxa"/>
            <w:noWrap w:val="0"/>
            <w:vAlign w:val="top"/>
          </w:tcPr>
          <w:p w14:paraId="5B20257D">
            <w:pPr>
              <w:spacing w:line="360" w:lineRule="auto"/>
              <w:rPr>
                <w:rFonts w:hint="eastAsia"/>
                <w:color w:val="000000"/>
                <w:sz w:val="24"/>
              </w:rPr>
            </w:pPr>
            <w:r>
              <w:rPr>
                <w:rFonts w:hint="eastAsia"/>
                <w:color w:val="000000"/>
                <w:sz w:val="24"/>
              </w:rPr>
              <w:t>等同或优于或国内一线品牌</w:t>
            </w:r>
          </w:p>
        </w:tc>
      </w:tr>
      <w:tr w14:paraId="09D06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dxa"/>
        </w:trPr>
        <w:tc>
          <w:tcPr>
            <w:tcW w:w="959" w:type="dxa"/>
            <w:noWrap w:val="0"/>
            <w:vAlign w:val="top"/>
          </w:tcPr>
          <w:p w14:paraId="0AB0246D">
            <w:pPr>
              <w:spacing w:line="360" w:lineRule="auto"/>
              <w:jc w:val="center"/>
              <w:rPr>
                <w:rFonts w:hint="eastAsia"/>
                <w:color w:val="000000"/>
                <w:sz w:val="24"/>
              </w:rPr>
            </w:pPr>
            <w:r>
              <w:rPr>
                <w:rFonts w:hint="eastAsia"/>
                <w:color w:val="000000"/>
                <w:sz w:val="24"/>
              </w:rPr>
              <w:t>4</w:t>
            </w:r>
          </w:p>
        </w:tc>
        <w:tc>
          <w:tcPr>
            <w:tcW w:w="2126" w:type="dxa"/>
            <w:noWrap w:val="0"/>
            <w:vAlign w:val="top"/>
          </w:tcPr>
          <w:p w14:paraId="31F55988">
            <w:pPr>
              <w:spacing w:line="360" w:lineRule="auto"/>
              <w:rPr>
                <w:rFonts w:hint="eastAsia"/>
                <w:color w:val="000000"/>
                <w:sz w:val="24"/>
              </w:rPr>
            </w:pPr>
            <w:r>
              <w:rPr>
                <w:rFonts w:hint="eastAsia"/>
                <w:color w:val="000000"/>
                <w:sz w:val="24"/>
              </w:rPr>
              <w:t>断路器、接触器、按钮</w:t>
            </w:r>
          </w:p>
        </w:tc>
        <w:tc>
          <w:tcPr>
            <w:tcW w:w="3402" w:type="dxa"/>
            <w:noWrap w:val="0"/>
            <w:vAlign w:val="top"/>
          </w:tcPr>
          <w:p w14:paraId="46C6C4E8">
            <w:pPr>
              <w:spacing w:line="360" w:lineRule="auto"/>
              <w:rPr>
                <w:rFonts w:hint="eastAsia"/>
                <w:color w:val="000000"/>
                <w:sz w:val="24"/>
              </w:rPr>
            </w:pPr>
            <w:r>
              <w:rPr>
                <w:rFonts w:hint="eastAsia"/>
                <w:color w:val="000000"/>
                <w:sz w:val="24"/>
              </w:rPr>
              <w:t>德力西、施耐德、欧姆龙等</w:t>
            </w:r>
          </w:p>
        </w:tc>
        <w:tc>
          <w:tcPr>
            <w:tcW w:w="3367" w:type="dxa"/>
            <w:noWrap w:val="0"/>
            <w:vAlign w:val="top"/>
          </w:tcPr>
          <w:p w14:paraId="4E9B8FB4">
            <w:pPr>
              <w:spacing w:line="360" w:lineRule="auto"/>
              <w:rPr>
                <w:rFonts w:hint="eastAsia"/>
                <w:color w:val="000000"/>
                <w:sz w:val="24"/>
              </w:rPr>
            </w:pPr>
            <w:r>
              <w:rPr>
                <w:rFonts w:hint="eastAsia"/>
                <w:color w:val="000000"/>
                <w:sz w:val="24"/>
              </w:rPr>
              <w:t>等同或优于或国内一线品牌</w:t>
            </w:r>
          </w:p>
        </w:tc>
      </w:tr>
      <w:tr w14:paraId="638D9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dxa"/>
          <w:trHeight w:val="485" w:hRule="atLeast"/>
        </w:trPr>
        <w:tc>
          <w:tcPr>
            <w:tcW w:w="959" w:type="dxa"/>
            <w:tcBorders>
              <w:bottom w:val="single" w:color="auto" w:sz="4" w:space="0"/>
            </w:tcBorders>
            <w:noWrap w:val="0"/>
            <w:vAlign w:val="top"/>
          </w:tcPr>
          <w:p w14:paraId="22C53B5E">
            <w:pPr>
              <w:spacing w:line="360" w:lineRule="auto"/>
              <w:jc w:val="center"/>
              <w:rPr>
                <w:rFonts w:hint="eastAsia"/>
                <w:color w:val="000000"/>
                <w:sz w:val="24"/>
              </w:rPr>
            </w:pPr>
            <w:r>
              <w:rPr>
                <w:rFonts w:hint="eastAsia"/>
                <w:color w:val="000000"/>
                <w:sz w:val="24"/>
              </w:rPr>
              <w:t>5</w:t>
            </w:r>
          </w:p>
        </w:tc>
        <w:tc>
          <w:tcPr>
            <w:tcW w:w="2126" w:type="dxa"/>
            <w:tcBorders>
              <w:bottom w:val="single" w:color="auto" w:sz="4" w:space="0"/>
            </w:tcBorders>
            <w:noWrap w:val="0"/>
            <w:vAlign w:val="top"/>
          </w:tcPr>
          <w:p w14:paraId="189C972A">
            <w:pPr>
              <w:spacing w:line="360" w:lineRule="auto"/>
              <w:rPr>
                <w:rFonts w:hint="eastAsia"/>
                <w:color w:val="000000"/>
                <w:sz w:val="24"/>
              </w:rPr>
            </w:pPr>
            <w:r>
              <w:rPr>
                <w:rFonts w:hint="eastAsia"/>
                <w:color w:val="000000"/>
                <w:sz w:val="24"/>
              </w:rPr>
              <w:t>变压器、交流接触器</w:t>
            </w:r>
          </w:p>
        </w:tc>
        <w:tc>
          <w:tcPr>
            <w:tcW w:w="3402" w:type="dxa"/>
            <w:tcBorders>
              <w:bottom w:val="single" w:color="auto" w:sz="4" w:space="0"/>
            </w:tcBorders>
            <w:noWrap w:val="0"/>
            <w:vAlign w:val="top"/>
          </w:tcPr>
          <w:p w14:paraId="358BAD59">
            <w:pPr>
              <w:spacing w:line="360" w:lineRule="auto"/>
              <w:rPr>
                <w:rFonts w:hint="eastAsia"/>
                <w:color w:val="000000"/>
                <w:sz w:val="24"/>
              </w:rPr>
            </w:pPr>
            <w:r>
              <w:rPr>
                <w:rFonts w:hint="eastAsia"/>
                <w:color w:val="000000"/>
                <w:sz w:val="24"/>
              </w:rPr>
              <w:t>施耐德、欧姆龙、明达、正泰等国际、国内知名品牌。</w:t>
            </w:r>
          </w:p>
        </w:tc>
        <w:tc>
          <w:tcPr>
            <w:tcW w:w="3367" w:type="dxa"/>
            <w:tcBorders>
              <w:bottom w:val="single" w:color="auto" w:sz="4" w:space="0"/>
            </w:tcBorders>
            <w:noWrap w:val="0"/>
            <w:vAlign w:val="top"/>
          </w:tcPr>
          <w:p w14:paraId="4897A8F7">
            <w:pPr>
              <w:spacing w:line="360" w:lineRule="auto"/>
              <w:rPr>
                <w:rFonts w:hint="eastAsia"/>
                <w:color w:val="000000"/>
                <w:sz w:val="24"/>
              </w:rPr>
            </w:pPr>
            <w:r>
              <w:rPr>
                <w:rFonts w:hint="eastAsia"/>
                <w:color w:val="000000"/>
                <w:sz w:val="24"/>
              </w:rPr>
              <w:t>等同或优于或国内一线品牌</w:t>
            </w:r>
          </w:p>
        </w:tc>
      </w:tr>
      <w:tr w14:paraId="381F8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dxa"/>
        </w:trPr>
        <w:tc>
          <w:tcPr>
            <w:tcW w:w="959" w:type="dxa"/>
            <w:noWrap w:val="0"/>
            <w:vAlign w:val="top"/>
          </w:tcPr>
          <w:p w14:paraId="7DFD9142">
            <w:pPr>
              <w:spacing w:line="360" w:lineRule="auto"/>
              <w:jc w:val="center"/>
              <w:rPr>
                <w:rFonts w:hint="eastAsia"/>
                <w:color w:val="000000"/>
                <w:sz w:val="24"/>
              </w:rPr>
            </w:pPr>
            <w:r>
              <w:rPr>
                <w:rFonts w:hint="eastAsia"/>
                <w:color w:val="000000"/>
                <w:sz w:val="24"/>
              </w:rPr>
              <w:t>6</w:t>
            </w:r>
          </w:p>
        </w:tc>
        <w:tc>
          <w:tcPr>
            <w:tcW w:w="2126" w:type="dxa"/>
            <w:noWrap w:val="0"/>
            <w:vAlign w:val="top"/>
          </w:tcPr>
          <w:p w14:paraId="41055B6F">
            <w:pPr>
              <w:spacing w:line="360" w:lineRule="auto"/>
              <w:rPr>
                <w:rFonts w:hint="eastAsia"/>
                <w:color w:val="000000"/>
                <w:sz w:val="24"/>
              </w:rPr>
            </w:pPr>
            <w:r>
              <w:rPr>
                <w:rFonts w:hint="eastAsia"/>
                <w:color w:val="000000"/>
                <w:sz w:val="24"/>
              </w:rPr>
              <w:t>主电机</w:t>
            </w:r>
          </w:p>
        </w:tc>
        <w:tc>
          <w:tcPr>
            <w:tcW w:w="3402" w:type="dxa"/>
            <w:noWrap w:val="0"/>
            <w:vAlign w:val="top"/>
          </w:tcPr>
          <w:p w14:paraId="3B2FF3EE">
            <w:pPr>
              <w:spacing w:line="360" w:lineRule="auto"/>
              <w:rPr>
                <w:rFonts w:hint="eastAsia"/>
                <w:color w:val="000000"/>
                <w:sz w:val="24"/>
              </w:rPr>
            </w:pPr>
            <w:r>
              <w:rPr>
                <w:rFonts w:hint="eastAsia"/>
                <w:color w:val="000000"/>
                <w:sz w:val="24"/>
              </w:rPr>
              <w:t>大中、皖南、江淮、金动力、首力等</w:t>
            </w:r>
          </w:p>
        </w:tc>
        <w:tc>
          <w:tcPr>
            <w:tcW w:w="3367" w:type="dxa"/>
            <w:noWrap w:val="0"/>
            <w:vAlign w:val="top"/>
          </w:tcPr>
          <w:p w14:paraId="0C05981B">
            <w:pPr>
              <w:spacing w:line="360" w:lineRule="auto"/>
              <w:rPr>
                <w:rFonts w:hint="eastAsia"/>
                <w:color w:val="000000"/>
                <w:sz w:val="24"/>
              </w:rPr>
            </w:pPr>
            <w:r>
              <w:rPr>
                <w:rFonts w:hint="eastAsia"/>
                <w:color w:val="000000"/>
                <w:sz w:val="24"/>
              </w:rPr>
              <w:t>等同或优于或国内一线品牌</w:t>
            </w:r>
          </w:p>
        </w:tc>
      </w:tr>
      <w:tr w14:paraId="5CE3A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dxa"/>
        </w:trPr>
        <w:tc>
          <w:tcPr>
            <w:tcW w:w="959" w:type="dxa"/>
            <w:noWrap w:val="0"/>
            <w:vAlign w:val="top"/>
          </w:tcPr>
          <w:p w14:paraId="003F1E53">
            <w:pPr>
              <w:spacing w:line="360" w:lineRule="auto"/>
              <w:jc w:val="center"/>
              <w:rPr>
                <w:rFonts w:hint="eastAsia"/>
                <w:color w:val="000000"/>
                <w:sz w:val="24"/>
              </w:rPr>
            </w:pPr>
            <w:r>
              <w:rPr>
                <w:rFonts w:hint="eastAsia"/>
                <w:color w:val="000000"/>
                <w:sz w:val="24"/>
              </w:rPr>
              <w:t>7</w:t>
            </w:r>
          </w:p>
        </w:tc>
        <w:tc>
          <w:tcPr>
            <w:tcW w:w="2126" w:type="dxa"/>
            <w:noWrap w:val="0"/>
            <w:vAlign w:val="top"/>
          </w:tcPr>
          <w:p w14:paraId="26FE5717">
            <w:pPr>
              <w:spacing w:line="360" w:lineRule="auto"/>
              <w:rPr>
                <w:rFonts w:hint="eastAsia"/>
                <w:color w:val="000000"/>
                <w:sz w:val="24"/>
              </w:rPr>
            </w:pPr>
            <w:r>
              <w:rPr>
                <w:rFonts w:hint="eastAsia"/>
                <w:color w:val="000000"/>
                <w:sz w:val="24"/>
              </w:rPr>
              <w:t>换向阀、溢水阀等液压元件</w:t>
            </w:r>
          </w:p>
        </w:tc>
        <w:tc>
          <w:tcPr>
            <w:tcW w:w="3402" w:type="dxa"/>
            <w:noWrap w:val="0"/>
            <w:vAlign w:val="top"/>
          </w:tcPr>
          <w:p w14:paraId="741FBB36">
            <w:pPr>
              <w:spacing w:line="360" w:lineRule="auto"/>
              <w:rPr>
                <w:rFonts w:hint="eastAsia"/>
                <w:color w:val="000000"/>
                <w:sz w:val="24"/>
              </w:rPr>
            </w:pPr>
            <w:r>
              <w:rPr>
                <w:rFonts w:hint="eastAsia"/>
                <w:color w:val="000000"/>
                <w:sz w:val="24"/>
              </w:rPr>
              <w:t>泰丰、正西、油研、朝田等</w:t>
            </w:r>
          </w:p>
        </w:tc>
        <w:tc>
          <w:tcPr>
            <w:tcW w:w="3367" w:type="dxa"/>
            <w:noWrap w:val="0"/>
            <w:vAlign w:val="top"/>
          </w:tcPr>
          <w:p w14:paraId="7A5870B7">
            <w:pPr>
              <w:spacing w:line="360" w:lineRule="auto"/>
              <w:rPr>
                <w:rFonts w:hint="eastAsia"/>
                <w:color w:val="000000"/>
                <w:sz w:val="24"/>
              </w:rPr>
            </w:pPr>
            <w:r>
              <w:rPr>
                <w:rFonts w:hint="eastAsia"/>
                <w:color w:val="000000"/>
                <w:sz w:val="24"/>
              </w:rPr>
              <w:t>等同或优于或国内一线品牌</w:t>
            </w:r>
          </w:p>
        </w:tc>
      </w:tr>
      <w:tr w14:paraId="4F44D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dxa"/>
          <w:trHeight w:val="699" w:hRule="atLeast"/>
        </w:trPr>
        <w:tc>
          <w:tcPr>
            <w:tcW w:w="959" w:type="dxa"/>
            <w:tcBorders>
              <w:bottom w:val="single" w:color="auto" w:sz="4" w:space="0"/>
            </w:tcBorders>
            <w:noWrap w:val="0"/>
            <w:vAlign w:val="top"/>
          </w:tcPr>
          <w:p w14:paraId="79313AA4">
            <w:pPr>
              <w:spacing w:line="360" w:lineRule="auto"/>
              <w:jc w:val="center"/>
              <w:rPr>
                <w:rFonts w:hint="eastAsia"/>
                <w:color w:val="000000"/>
                <w:sz w:val="24"/>
              </w:rPr>
            </w:pPr>
            <w:r>
              <w:rPr>
                <w:rFonts w:hint="eastAsia"/>
                <w:color w:val="000000"/>
                <w:sz w:val="24"/>
              </w:rPr>
              <w:t>8</w:t>
            </w:r>
          </w:p>
        </w:tc>
        <w:tc>
          <w:tcPr>
            <w:tcW w:w="2126" w:type="dxa"/>
            <w:tcBorders>
              <w:bottom w:val="single" w:color="auto" w:sz="4" w:space="0"/>
            </w:tcBorders>
            <w:noWrap w:val="0"/>
            <w:vAlign w:val="top"/>
          </w:tcPr>
          <w:p w14:paraId="44512B1B">
            <w:pPr>
              <w:spacing w:line="360" w:lineRule="auto"/>
              <w:rPr>
                <w:rFonts w:hint="eastAsia"/>
                <w:color w:val="000000"/>
                <w:sz w:val="24"/>
              </w:rPr>
            </w:pPr>
            <w:r>
              <w:rPr>
                <w:rFonts w:hint="eastAsia"/>
                <w:color w:val="000000"/>
                <w:sz w:val="24"/>
              </w:rPr>
              <w:t>其它</w:t>
            </w:r>
          </w:p>
        </w:tc>
        <w:tc>
          <w:tcPr>
            <w:tcW w:w="3402" w:type="dxa"/>
            <w:tcBorders>
              <w:bottom w:val="single" w:color="auto" w:sz="4" w:space="0"/>
            </w:tcBorders>
            <w:noWrap w:val="0"/>
            <w:vAlign w:val="top"/>
          </w:tcPr>
          <w:p w14:paraId="66E1F309">
            <w:pPr>
              <w:spacing w:line="360" w:lineRule="auto"/>
              <w:rPr>
                <w:rFonts w:hint="eastAsia"/>
                <w:color w:val="000000"/>
                <w:sz w:val="24"/>
              </w:rPr>
            </w:pPr>
            <w:r>
              <w:rPr>
                <w:rFonts w:hint="eastAsia"/>
                <w:color w:val="000000"/>
                <w:sz w:val="24"/>
              </w:rPr>
              <w:t>国内、国际知名品牌零部件</w:t>
            </w:r>
          </w:p>
        </w:tc>
        <w:tc>
          <w:tcPr>
            <w:tcW w:w="3367" w:type="dxa"/>
            <w:tcBorders>
              <w:bottom w:val="single" w:color="auto" w:sz="4" w:space="0"/>
            </w:tcBorders>
            <w:noWrap w:val="0"/>
            <w:vAlign w:val="top"/>
          </w:tcPr>
          <w:p w14:paraId="0BC4537D">
            <w:pPr>
              <w:spacing w:line="360" w:lineRule="auto"/>
              <w:rPr>
                <w:rFonts w:hint="eastAsia"/>
                <w:color w:val="000000"/>
                <w:sz w:val="24"/>
              </w:rPr>
            </w:pPr>
          </w:p>
        </w:tc>
      </w:tr>
    </w:tbl>
    <w:p w14:paraId="738A7639">
      <w:pPr>
        <w:spacing w:line="360" w:lineRule="auto"/>
        <w:ind w:firstLine="562" w:firstLineChars="200"/>
        <w:jc w:val="left"/>
        <w:rPr>
          <w:rFonts w:hint="eastAsia"/>
          <w:b/>
          <w:sz w:val="28"/>
          <w:szCs w:val="28"/>
        </w:rPr>
      </w:pPr>
    </w:p>
    <w:p w14:paraId="025D3C66">
      <w:pPr>
        <w:spacing w:before="100" w:beforeAutospacing="1" w:after="100" w:afterAutospacing="1"/>
        <w:rPr>
          <w:rFonts w:hint="eastAsia"/>
          <w:b/>
          <w:sz w:val="28"/>
          <w:szCs w:val="28"/>
        </w:rPr>
      </w:pPr>
      <w:r>
        <w:rPr>
          <w:rFonts w:hint="eastAsia"/>
          <w:b/>
          <w:sz w:val="28"/>
          <w:szCs w:val="28"/>
        </w:rPr>
        <w:t>四、验收标准</w:t>
      </w:r>
    </w:p>
    <w:p w14:paraId="1BEA8A86">
      <w:pPr>
        <w:rPr>
          <w:rFonts w:hint="eastAsia" w:ascii="宋体" w:hAnsi="宋体"/>
          <w:color w:val="000000"/>
          <w:sz w:val="24"/>
        </w:rPr>
      </w:pPr>
      <w:r>
        <w:rPr>
          <w:rFonts w:hint="eastAsia" w:ascii="宋体" w:hAnsi="宋体"/>
          <w:color w:val="000000"/>
          <w:sz w:val="24"/>
        </w:rPr>
        <w:t>1、按上述“二、主要技术参数”和“</w:t>
      </w:r>
      <w:r>
        <w:rPr>
          <w:rFonts w:hint="eastAsia"/>
          <w:sz w:val="24"/>
          <w:lang/>
        </w:rPr>
        <w:t>设备主要配置要求</w:t>
      </w:r>
      <w:r>
        <w:rPr>
          <w:rFonts w:hint="eastAsia" w:ascii="宋体" w:hAnsi="宋体"/>
          <w:color w:val="000000"/>
          <w:sz w:val="24"/>
        </w:rPr>
        <w:t>”规定进行验收；</w:t>
      </w:r>
    </w:p>
    <w:p w14:paraId="2ACE54CE">
      <w:pPr>
        <w:rPr>
          <w:rFonts w:hint="eastAsia" w:ascii="宋体" w:hAnsi="宋体"/>
          <w:color w:val="000000"/>
          <w:sz w:val="24"/>
        </w:rPr>
      </w:pPr>
      <w:r>
        <w:rPr>
          <w:rFonts w:hint="eastAsia" w:ascii="宋体" w:hAnsi="宋体"/>
          <w:color w:val="000000"/>
          <w:sz w:val="24"/>
        </w:rPr>
        <w:t>2、本技术要求未提及的，可按国有关滚丝机标准进行验收，具体如下：</w:t>
      </w:r>
    </w:p>
    <w:p w14:paraId="469AD12F">
      <w:pPr>
        <w:rPr>
          <w:rFonts w:hint="eastAsia" w:ascii="宋体" w:hAnsi="宋体"/>
          <w:color w:val="000000"/>
          <w:sz w:val="24"/>
        </w:rPr>
      </w:pPr>
      <w:r>
        <w:rPr>
          <w:rFonts w:hint="eastAsia" w:ascii="宋体" w:hAnsi="宋体"/>
          <w:color w:val="000000"/>
          <w:sz w:val="24"/>
        </w:rPr>
        <w:t xml:space="preserve">     JB/T5201.1-2007   滚丝机精度</w:t>
      </w:r>
    </w:p>
    <w:p w14:paraId="5FED2B60">
      <w:pPr>
        <w:rPr>
          <w:rFonts w:hint="eastAsia" w:ascii="宋体" w:hAnsi="宋体"/>
          <w:color w:val="000000"/>
          <w:sz w:val="24"/>
        </w:rPr>
      </w:pPr>
      <w:r>
        <w:rPr>
          <w:rFonts w:hint="eastAsia" w:ascii="宋体" w:hAnsi="宋体"/>
          <w:color w:val="000000"/>
          <w:sz w:val="24"/>
        </w:rPr>
        <w:t xml:space="preserve">     JB/T5201.2-2007   滚丝机技术条件</w:t>
      </w:r>
    </w:p>
    <w:p w14:paraId="27F4E82E">
      <w:pPr>
        <w:rPr>
          <w:rFonts w:hint="eastAsia" w:ascii="宋体" w:hAnsi="宋体"/>
          <w:color w:val="000000"/>
          <w:sz w:val="24"/>
        </w:rPr>
      </w:pPr>
      <w:r>
        <w:rPr>
          <w:rFonts w:hint="eastAsia" w:ascii="宋体" w:hAnsi="宋体"/>
          <w:color w:val="000000"/>
          <w:sz w:val="24"/>
        </w:rPr>
        <w:t xml:space="preserve">     JB/T5201.2-2007   滚丝机基本参数</w:t>
      </w:r>
    </w:p>
    <w:p w14:paraId="11CE8657">
      <w:pPr>
        <w:spacing w:line="360" w:lineRule="auto"/>
        <w:rPr>
          <w:rFonts w:hint="eastAsia"/>
          <w:b/>
          <w:sz w:val="28"/>
          <w:szCs w:val="28"/>
        </w:rPr>
      </w:pPr>
      <w:r>
        <w:rPr>
          <w:rFonts w:hint="eastAsia"/>
          <w:b/>
          <w:sz w:val="28"/>
          <w:szCs w:val="28"/>
        </w:rPr>
        <w:t>五、设备技术要求总则</w:t>
      </w:r>
    </w:p>
    <w:p w14:paraId="5BA53F38">
      <w:pPr>
        <w:rPr>
          <w:rFonts w:hint="eastAsia" w:ascii="宋体" w:hAnsi="宋体"/>
          <w:color w:val="000000"/>
          <w:sz w:val="24"/>
        </w:rPr>
      </w:pPr>
      <w:r>
        <w:rPr>
          <w:rFonts w:hint="eastAsia" w:ascii="宋体" w:hAnsi="宋体"/>
          <w:color w:val="000000"/>
          <w:sz w:val="24"/>
        </w:rPr>
        <w:t>1、本技术要求为最低限度的技术要求，并未对一切技术细节做出规定，也未充分引述有关标准和规范的条文，供应商应保证提供符合或优于本技术规格书和有关工业标准的优质产品。</w:t>
      </w:r>
    </w:p>
    <w:p w14:paraId="2BA939E0">
      <w:pPr>
        <w:rPr>
          <w:rFonts w:hint="eastAsia" w:ascii="宋体" w:hAnsi="宋体"/>
          <w:color w:val="000000"/>
          <w:sz w:val="24"/>
        </w:rPr>
      </w:pPr>
      <w:r>
        <w:rPr>
          <w:rFonts w:hint="eastAsia" w:ascii="宋体" w:hAnsi="宋体"/>
          <w:color w:val="000000"/>
          <w:sz w:val="24"/>
        </w:rPr>
        <w:t>2、具备良好的人机对话功能，可全自动运行。设备节能环保、安全，操作维修方便，造型美观，运行稳定、可靠。</w:t>
      </w:r>
    </w:p>
    <w:p w14:paraId="5E1D9238">
      <w:pPr>
        <w:rPr>
          <w:rFonts w:hint="eastAsia" w:ascii="宋体" w:hAnsi="宋体"/>
          <w:color w:val="000000"/>
          <w:sz w:val="24"/>
        </w:rPr>
      </w:pPr>
      <w:r>
        <w:rPr>
          <w:rFonts w:hint="eastAsia" w:ascii="宋体" w:hAnsi="宋体"/>
          <w:color w:val="000000"/>
          <w:sz w:val="24"/>
        </w:rPr>
        <w:t>3、设备及其配套的零部件须保证是全新的，零部件、电气元件需选用国际品牌、国内驰名品牌。</w:t>
      </w:r>
    </w:p>
    <w:p w14:paraId="611EDE77">
      <w:pPr>
        <w:rPr>
          <w:rFonts w:hint="eastAsia" w:ascii="宋体" w:hAnsi="宋体"/>
          <w:color w:val="000000"/>
          <w:sz w:val="24"/>
        </w:rPr>
      </w:pPr>
      <w:r>
        <w:rPr>
          <w:rFonts w:hint="eastAsia" w:ascii="宋体" w:hAnsi="宋体"/>
          <w:color w:val="000000"/>
          <w:sz w:val="24"/>
        </w:rPr>
        <w:t>4、设备服务要求：供方在按上述供货范围提供设备的同时，须提供与之相应的伴随服务。包括：技术资料、安装调试、现场试运行、技术支持、技术服务、技术培训等，以及在文中未提及的、隐含的其他必须由供方提供的相关服务。</w:t>
      </w:r>
    </w:p>
    <w:p w14:paraId="3357897F">
      <w:pPr>
        <w:rPr>
          <w:rFonts w:hint="eastAsia"/>
          <w:b/>
          <w:sz w:val="28"/>
          <w:szCs w:val="28"/>
        </w:rPr>
      </w:pPr>
      <w:r>
        <w:rPr>
          <w:rFonts w:hint="eastAsia"/>
          <w:b/>
          <w:sz w:val="28"/>
          <w:szCs w:val="28"/>
        </w:rPr>
        <w:t>六、售后服务、培训和技术资料等</w:t>
      </w:r>
    </w:p>
    <w:p w14:paraId="3D541A16">
      <w:pPr>
        <w:rPr>
          <w:rFonts w:hint="eastAsia" w:ascii="宋体" w:hAnsi="宋体"/>
          <w:color w:val="000000"/>
          <w:sz w:val="24"/>
        </w:rPr>
      </w:pPr>
      <w:r>
        <w:rPr>
          <w:rFonts w:hint="eastAsia" w:ascii="宋体" w:hAnsi="宋体"/>
          <w:color w:val="000000"/>
          <w:sz w:val="24"/>
        </w:rPr>
        <w:t>1.全套设备运输、现场卸货、安装调试均由供货方负责，用户配合并实行交钥匙工程。（我司给以必要配合实施）</w:t>
      </w:r>
    </w:p>
    <w:p w14:paraId="099E8BF3">
      <w:pPr>
        <w:rPr>
          <w:rFonts w:hint="eastAsia" w:ascii="宋体" w:hAnsi="宋体"/>
          <w:color w:val="000000"/>
          <w:sz w:val="24"/>
        </w:rPr>
      </w:pPr>
      <w:r>
        <w:rPr>
          <w:rFonts w:hint="eastAsia" w:ascii="宋体" w:hAnsi="宋体"/>
          <w:color w:val="000000"/>
          <w:sz w:val="24"/>
        </w:rPr>
        <w:t>2.</w:t>
      </w:r>
      <w:r>
        <w:rPr>
          <w:rFonts w:ascii="宋体" w:hAnsi="宋体"/>
          <w:color w:val="000000"/>
          <w:sz w:val="24"/>
        </w:rPr>
        <w:t>设备到达用户所在地后，在接到用户安装通知后7个工作日内执行免费安装、调试和培训</w:t>
      </w:r>
      <w:r>
        <w:rPr>
          <w:rFonts w:hint="eastAsia" w:ascii="宋体" w:hAnsi="宋体"/>
          <w:color w:val="000000"/>
          <w:sz w:val="24"/>
        </w:rPr>
        <w:t>；人员培训是指设备操作培训，直到操作者会操作为止</w:t>
      </w:r>
      <w:r>
        <w:rPr>
          <w:rFonts w:ascii="宋体" w:hAnsi="宋体"/>
          <w:color w:val="000000"/>
          <w:sz w:val="24"/>
        </w:rPr>
        <w:t>。</w:t>
      </w:r>
    </w:p>
    <w:p w14:paraId="74E994B9">
      <w:pPr>
        <w:rPr>
          <w:rFonts w:ascii="宋体" w:hAnsi="宋体"/>
          <w:color w:val="000000"/>
          <w:sz w:val="24"/>
        </w:rPr>
      </w:pPr>
      <w:r>
        <w:rPr>
          <w:rFonts w:hint="eastAsia" w:ascii="宋体" w:hAnsi="宋体"/>
          <w:color w:val="000000"/>
          <w:sz w:val="24"/>
        </w:rPr>
        <w:t>3.</w:t>
      </w:r>
      <w:r>
        <w:rPr>
          <w:rFonts w:ascii="宋体" w:hAnsi="宋体"/>
          <w:color w:val="000000"/>
          <w:sz w:val="24"/>
        </w:rPr>
        <w:t>保修：</w:t>
      </w:r>
      <w:r>
        <w:rPr>
          <w:rFonts w:hint="eastAsia" w:ascii="宋体" w:hAnsi="宋体"/>
          <w:color w:val="000000"/>
          <w:sz w:val="24"/>
        </w:rPr>
        <w:t>供方须</w:t>
      </w:r>
      <w:r>
        <w:rPr>
          <w:rFonts w:ascii="宋体" w:hAnsi="宋体"/>
          <w:color w:val="000000"/>
          <w:sz w:val="24"/>
        </w:rPr>
        <w:t>拥有专业资深维修工程师。在设备保修期内不收取零部件及其它费用（人为损坏因素除外），实行保修服务，并提供设备终身售后服务。</w:t>
      </w:r>
    </w:p>
    <w:p w14:paraId="19DA658F">
      <w:pPr>
        <w:rPr>
          <w:rFonts w:hint="eastAsia" w:ascii="宋体" w:hAnsi="宋体"/>
          <w:color w:val="000000"/>
          <w:sz w:val="24"/>
        </w:rPr>
      </w:pPr>
      <w:r>
        <w:rPr>
          <w:rFonts w:hint="eastAsia" w:ascii="宋体" w:hAnsi="宋体"/>
          <w:color w:val="000000"/>
          <w:sz w:val="24"/>
        </w:rPr>
        <w:t>4.</w:t>
      </w:r>
      <w:r>
        <w:rPr>
          <w:rFonts w:ascii="宋体" w:hAnsi="宋体"/>
          <w:color w:val="000000"/>
          <w:sz w:val="24"/>
        </w:rPr>
        <w:t>设备保修期满之后，</w:t>
      </w:r>
      <w:r>
        <w:rPr>
          <w:rFonts w:hint="eastAsia" w:ascii="宋体" w:hAnsi="宋体"/>
          <w:color w:val="000000"/>
          <w:sz w:val="24"/>
        </w:rPr>
        <w:t>应</w:t>
      </w:r>
      <w:r>
        <w:rPr>
          <w:rFonts w:ascii="宋体" w:hAnsi="宋体"/>
          <w:color w:val="000000"/>
          <w:sz w:val="24"/>
        </w:rPr>
        <w:t>提供广泛而优惠的技术支持及备件的供应。</w:t>
      </w:r>
    </w:p>
    <w:p w14:paraId="6EB5619B">
      <w:pPr>
        <w:rPr>
          <w:rFonts w:ascii="宋体" w:hAnsi="宋体"/>
          <w:color w:val="000000"/>
          <w:sz w:val="24"/>
        </w:rPr>
      </w:pPr>
      <w:r>
        <w:rPr>
          <w:rFonts w:hint="eastAsia" w:ascii="宋体" w:hAnsi="宋体"/>
          <w:color w:val="000000"/>
          <w:sz w:val="24"/>
        </w:rPr>
        <w:t>5.</w:t>
      </w:r>
      <w:r>
        <w:rPr>
          <w:rFonts w:ascii="宋体" w:hAnsi="宋体"/>
          <w:color w:val="000000"/>
          <w:sz w:val="24"/>
        </w:rPr>
        <w:t>维修响应：接到用户通知后，8小时内做出响应，48小时内给出明确解决方案，遵循尽量在最短时间内为用户解决问题的原则，如需要，在48小时内赶到现场，一般类故障3个工作日内修复，特殊类故障7个工作日内修复。</w:t>
      </w:r>
    </w:p>
    <w:p w14:paraId="7B0A432F">
      <w:pPr>
        <w:rPr>
          <w:rFonts w:ascii="宋体" w:hAnsi="宋体"/>
          <w:color w:val="000000"/>
          <w:sz w:val="24"/>
        </w:rPr>
      </w:pPr>
      <w:r>
        <w:rPr>
          <w:rFonts w:hint="eastAsia" w:ascii="宋体" w:hAnsi="宋体"/>
          <w:color w:val="000000"/>
          <w:sz w:val="24"/>
        </w:rPr>
        <w:t>6.提供壹套使用说明书。说明书满足使用、维护、保养、操作、安全、安装、调整的需要、装订整齐规范。</w:t>
      </w:r>
    </w:p>
    <w:p w14:paraId="6A4C05C5">
      <w:pPr>
        <w:rPr>
          <w:rFonts w:hint="eastAsia" w:ascii="宋体" w:hAnsi="宋体"/>
          <w:color w:val="000000"/>
          <w:sz w:val="24"/>
        </w:rPr>
      </w:pPr>
      <w:r>
        <w:rPr>
          <w:rFonts w:hint="eastAsia" w:ascii="宋体" w:hAnsi="宋体"/>
          <w:color w:val="000000"/>
          <w:sz w:val="24"/>
        </w:rPr>
        <w:t>7.提供出厂合格证明、装箱清单以及其他相关资料。</w:t>
      </w:r>
    </w:p>
    <w:p w14:paraId="2958C54A">
      <w:pPr>
        <w:tabs>
          <w:tab w:val="left" w:pos="1085"/>
        </w:tabs>
        <w:adjustRightInd w:val="0"/>
        <w:snapToGrid w:val="0"/>
        <w:jc w:val="left"/>
        <w:rPr>
          <w:rFonts w:hint="eastAsia" w:ascii="宋体" w:hAnsi="宋体"/>
          <w:b/>
          <w:color w:val="000000"/>
          <w:sz w:val="24"/>
        </w:rPr>
      </w:pPr>
    </w:p>
    <w:p w14:paraId="5CE9017B">
      <w:pPr>
        <w:tabs>
          <w:tab w:val="left" w:pos="1085"/>
        </w:tabs>
        <w:adjustRightInd w:val="0"/>
        <w:snapToGrid w:val="0"/>
        <w:jc w:val="right"/>
        <w:rPr>
          <w:rFonts w:hint="eastAsia" w:ascii="宋体" w:hAnsi="宋体"/>
          <w:b/>
          <w:color w:val="000000"/>
          <w:sz w:val="24"/>
        </w:rPr>
      </w:pPr>
    </w:p>
    <w:p w14:paraId="4FDF1519">
      <w:pPr>
        <w:tabs>
          <w:tab w:val="left" w:pos="1085"/>
        </w:tabs>
        <w:adjustRightInd w:val="0"/>
        <w:snapToGrid w:val="0"/>
        <w:jc w:val="left"/>
        <w:rPr>
          <w:rFonts w:hint="eastAsia" w:ascii="宋体" w:hAnsi="宋体"/>
          <w:b/>
          <w:color w:val="000000"/>
          <w:sz w:val="24"/>
        </w:rPr>
      </w:pPr>
    </w:p>
    <w:p w14:paraId="0346FDD7">
      <w:pPr>
        <w:tabs>
          <w:tab w:val="left" w:pos="1085"/>
        </w:tabs>
        <w:adjustRightInd w:val="0"/>
        <w:snapToGrid w:val="0"/>
        <w:jc w:val="left"/>
        <w:rPr>
          <w:rFonts w:hint="eastAsia" w:ascii="宋体" w:hAnsi="宋体"/>
          <w:b/>
          <w:color w:val="000000"/>
          <w:sz w:val="24"/>
        </w:rPr>
      </w:pPr>
    </w:p>
    <w:p w14:paraId="7D3C5AB6">
      <w:pPr>
        <w:tabs>
          <w:tab w:val="left" w:pos="1085"/>
        </w:tabs>
        <w:adjustRightInd w:val="0"/>
        <w:snapToGrid w:val="0"/>
        <w:jc w:val="right"/>
        <w:rPr>
          <w:rFonts w:hint="eastAsia" w:ascii="宋体" w:hAnsi="宋体"/>
          <w:b/>
          <w:color w:val="000000"/>
          <w:sz w:val="24"/>
        </w:rPr>
      </w:pPr>
    </w:p>
    <w:p w14:paraId="6664C63E">
      <w:pPr>
        <w:tabs>
          <w:tab w:val="left" w:pos="1085"/>
        </w:tabs>
        <w:adjustRightInd w:val="0"/>
        <w:snapToGrid w:val="0"/>
        <w:jc w:val="right"/>
        <w:rPr>
          <w:rFonts w:hint="eastAsia" w:ascii="宋体" w:hAnsi="宋体"/>
          <w:b/>
          <w:color w:val="000000"/>
          <w:sz w:val="24"/>
        </w:rPr>
      </w:pPr>
      <w:r>
        <w:rPr>
          <w:rFonts w:hint="eastAsia" w:ascii="宋体" w:hAnsi="宋体"/>
          <w:b/>
          <w:color w:val="000000"/>
          <w:sz w:val="24"/>
        </w:rPr>
        <w:t xml:space="preserve">                                                       工艺技术研究所</w:t>
      </w:r>
    </w:p>
    <w:p w14:paraId="4DA488E2">
      <w:pPr>
        <w:tabs>
          <w:tab w:val="left" w:pos="1085"/>
        </w:tabs>
        <w:adjustRightInd w:val="0"/>
        <w:snapToGrid w:val="0"/>
        <w:jc w:val="right"/>
        <w:rPr>
          <w:rFonts w:hint="eastAsia" w:ascii="宋体" w:hAnsi="宋体"/>
          <w:b/>
          <w:color w:val="000000"/>
          <w:sz w:val="24"/>
        </w:rPr>
      </w:pPr>
      <w:r>
        <w:rPr>
          <w:rFonts w:hint="eastAsia" w:ascii="宋体" w:hAnsi="宋体"/>
          <w:b/>
          <w:color w:val="000000"/>
          <w:sz w:val="24"/>
        </w:rPr>
        <w:t xml:space="preserve">                                                      2024年12月24日</w:t>
      </w:r>
    </w:p>
    <w:p w14:paraId="44B78572">
      <w:pPr>
        <w:tabs>
          <w:tab w:val="left" w:pos="1085"/>
        </w:tabs>
        <w:adjustRightInd w:val="0"/>
        <w:snapToGrid w:val="0"/>
        <w:spacing w:line="360" w:lineRule="auto"/>
        <w:ind w:firstLine="480" w:firstLineChars="200"/>
        <w:jc w:val="left"/>
        <w:rPr>
          <w:rFonts w:hint="eastAsia" w:ascii="宋体" w:hAnsi="宋体"/>
          <w:sz w:val="24"/>
        </w:rPr>
      </w:pPr>
    </w:p>
    <w:p w14:paraId="23E36CD3">
      <w:pPr>
        <w:spacing w:line="300" w:lineRule="auto"/>
        <w:ind w:firstLine="480" w:firstLineChars="200"/>
        <w:jc w:val="left"/>
        <w:rPr>
          <w:rFonts w:hint="eastAsia" w:ascii="宋体" w:hAnsi="宋体"/>
          <w:sz w:val="24"/>
        </w:rPr>
      </w:pPr>
    </w:p>
    <w:sectPr>
      <w:headerReference r:id="rId3" w:type="first"/>
      <w:footerReference r:id="rId6" w:type="first"/>
      <w:footerReference r:id="rId4" w:type="default"/>
      <w:footerReference r:id="rId5" w:type="even"/>
      <w:pgSz w:w="11907" w:h="16839"/>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90885">
    <w:pPr>
      <w:pStyle w:val="6"/>
      <w:framePr w:wrap="around" w:vAnchor="text" w:hAnchor="margin" w:xAlign="right" w:y="1"/>
      <w:rPr>
        <w:rStyle w:val="10"/>
      </w:rPr>
    </w:pPr>
    <w:r>
      <w:fldChar w:fldCharType="begin"/>
    </w:r>
    <w:r>
      <w:rPr>
        <w:rStyle w:val="10"/>
      </w:rPr>
      <w:instrText xml:space="preserve">PAGE  </w:instrText>
    </w:r>
    <w:r>
      <w:fldChar w:fldCharType="separate"/>
    </w:r>
    <w:r>
      <w:rPr>
        <w:rStyle w:val="10"/>
        <w:lang/>
      </w:rPr>
      <w:t>2</w:t>
    </w:r>
    <w:r>
      <w:fldChar w:fldCharType="end"/>
    </w:r>
  </w:p>
  <w:p w14:paraId="475E1501">
    <w:pPr>
      <w:pStyle w:val="6"/>
      <w:tabs>
        <w:tab w:val="left" w:pos="8715"/>
        <w:tab w:val="clear" w:pos="8306"/>
      </w:tabs>
      <w:ind w:right="360"/>
      <w:jc w:val="center"/>
      <w:rPr>
        <w:vertAlign w:val="superscrip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BB6CE">
    <w:pPr>
      <w:pStyle w:val="6"/>
      <w:framePr w:wrap="around" w:vAnchor="text" w:hAnchor="margin" w:xAlign="right" w:y="1"/>
      <w:rPr>
        <w:rStyle w:val="10"/>
      </w:rPr>
    </w:pPr>
    <w:r>
      <w:fldChar w:fldCharType="begin"/>
    </w:r>
    <w:r>
      <w:rPr>
        <w:rStyle w:val="10"/>
      </w:rPr>
      <w:instrText xml:space="preserve">PAGE  </w:instrText>
    </w:r>
    <w:r>
      <w:fldChar w:fldCharType="separate"/>
    </w:r>
    <w:r>
      <w:rPr>
        <w:rStyle w:val="10"/>
      </w:rPr>
      <w:t>8</w:t>
    </w:r>
    <w:r>
      <w:fldChar w:fldCharType="end"/>
    </w:r>
  </w:p>
  <w:p w14:paraId="1D027AFB">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D111D">
    <w:pPr>
      <w:pStyle w:val="6"/>
      <w:framePr w:wrap="around" w:vAnchor="text" w:hAnchor="margin" w:xAlign="right" w:y="1"/>
      <w:rPr>
        <w:rStyle w:val="10"/>
      </w:rPr>
    </w:pPr>
    <w:r>
      <w:fldChar w:fldCharType="begin"/>
    </w:r>
    <w:r>
      <w:rPr>
        <w:rStyle w:val="10"/>
      </w:rPr>
      <w:instrText xml:space="preserve">PAGE  </w:instrText>
    </w:r>
    <w:r>
      <w:fldChar w:fldCharType="separate"/>
    </w:r>
    <w:r>
      <w:rPr>
        <w:rStyle w:val="10"/>
        <w:lang/>
      </w:rPr>
      <w:t>1</w:t>
    </w:r>
    <w:r>
      <w:fldChar w:fldCharType="end"/>
    </w:r>
  </w:p>
  <w:p w14:paraId="750E4E73">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CA8B4">
    <w:pPr>
      <w:pStyle w:val="7"/>
      <w:jc w:val="right"/>
    </w:pPr>
    <w:r>
      <w:rPr>
        <w:rFonts w:hint="eastAsia"/>
      </w:rPr>
      <w:t>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5D0F1F"/>
    <w:multiLevelType w:val="singleLevel"/>
    <w:tmpl w:val="AE5D0F1F"/>
    <w:lvl w:ilvl="0" w:tentative="0">
      <w:start w:val="1"/>
      <w:numFmt w:val="lowerLetter"/>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E5B"/>
    <w:rsid w:val="00001E46"/>
    <w:rsid w:val="0000271B"/>
    <w:rsid w:val="000036EF"/>
    <w:rsid w:val="00004027"/>
    <w:rsid w:val="0000535D"/>
    <w:rsid w:val="00006EC3"/>
    <w:rsid w:val="000074B2"/>
    <w:rsid w:val="0001159F"/>
    <w:rsid w:val="00011CFB"/>
    <w:rsid w:val="0001208A"/>
    <w:rsid w:val="0001274F"/>
    <w:rsid w:val="000129F7"/>
    <w:rsid w:val="00012F1A"/>
    <w:rsid w:val="00013DFC"/>
    <w:rsid w:val="00014E06"/>
    <w:rsid w:val="00014E8B"/>
    <w:rsid w:val="000210AC"/>
    <w:rsid w:val="0002124A"/>
    <w:rsid w:val="00022EBA"/>
    <w:rsid w:val="00024249"/>
    <w:rsid w:val="00024418"/>
    <w:rsid w:val="00024EF5"/>
    <w:rsid w:val="00025142"/>
    <w:rsid w:val="000265E6"/>
    <w:rsid w:val="000266DD"/>
    <w:rsid w:val="00026D58"/>
    <w:rsid w:val="000274EE"/>
    <w:rsid w:val="00030B42"/>
    <w:rsid w:val="00031763"/>
    <w:rsid w:val="000321D6"/>
    <w:rsid w:val="000330EE"/>
    <w:rsid w:val="00035FB3"/>
    <w:rsid w:val="00037202"/>
    <w:rsid w:val="00037D26"/>
    <w:rsid w:val="00040F69"/>
    <w:rsid w:val="000415D3"/>
    <w:rsid w:val="00043E47"/>
    <w:rsid w:val="00044048"/>
    <w:rsid w:val="00044BAA"/>
    <w:rsid w:val="00046D26"/>
    <w:rsid w:val="0005113A"/>
    <w:rsid w:val="000522CD"/>
    <w:rsid w:val="00052BBE"/>
    <w:rsid w:val="000534F4"/>
    <w:rsid w:val="00053BFB"/>
    <w:rsid w:val="00053C9E"/>
    <w:rsid w:val="0005462B"/>
    <w:rsid w:val="0005764B"/>
    <w:rsid w:val="000615D7"/>
    <w:rsid w:val="00062A09"/>
    <w:rsid w:val="00063470"/>
    <w:rsid w:val="0006447A"/>
    <w:rsid w:val="00065A5B"/>
    <w:rsid w:val="000708FB"/>
    <w:rsid w:val="00072384"/>
    <w:rsid w:val="00072E0E"/>
    <w:rsid w:val="000750A9"/>
    <w:rsid w:val="000756B3"/>
    <w:rsid w:val="000775FB"/>
    <w:rsid w:val="00077936"/>
    <w:rsid w:val="00080DDC"/>
    <w:rsid w:val="000814AE"/>
    <w:rsid w:val="00082A18"/>
    <w:rsid w:val="00085BEB"/>
    <w:rsid w:val="000862BE"/>
    <w:rsid w:val="000900E3"/>
    <w:rsid w:val="0009241C"/>
    <w:rsid w:val="000951B2"/>
    <w:rsid w:val="00095ED8"/>
    <w:rsid w:val="00096332"/>
    <w:rsid w:val="000A2CE6"/>
    <w:rsid w:val="000A339C"/>
    <w:rsid w:val="000A3490"/>
    <w:rsid w:val="000A4C74"/>
    <w:rsid w:val="000A61C7"/>
    <w:rsid w:val="000A772D"/>
    <w:rsid w:val="000B0797"/>
    <w:rsid w:val="000B175D"/>
    <w:rsid w:val="000B3BAD"/>
    <w:rsid w:val="000B5424"/>
    <w:rsid w:val="000B678A"/>
    <w:rsid w:val="000B7C6F"/>
    <w:rsid w:val="000C0D10"/>
    <w:rsid w:val="000C3ABD"/>
    <w:rsid w:val="000C4606"/>
    <w:rsid w:val="000C4F78"/>
    <w:rsid w:val="000C6231"/>
    <w:rsid w:val="000C63A4"/>
    <w:rsid w:val="000C6AD3"/>
    <w:rsid w:val="000C6CE9"/>
    <w:rsid w:val="000D0550"/>
    <w:rsid w:val="000D4931"/>
    <w:rsid w:val="000E0640"/>
    <w:rsid w:val="000E08AA"/>
    <w:rsid w:val="000E0B77"/>
    <w:rsid w:val="000E1AA7"/>
    <w:rsid w:val="000E2132"/>
    <w:rsid w:val="000E2C4F"/>
    <w:rsid w:val="000E3074"/>
    <w:rsid w:val="000E43BC"/>
    <w:rsid w:val="000E7086"/>
    <w:rsid w:val="000F052E"/>
    <w:rsid w:val="000F2049"/>
    <w:rsid w:val="000F27AA"/>
    <w:rsid w:val="000F4A47"/>
    <w:rsid w:val="000F4CB3"/>
    <w:rsid w:val="000F662D"/>
    <w:rsid w:val="000F779F"/>
    <w:rsid w:val="00101CC3"/>
    <w:rsid w:val="0010269A"/>
    <w:rsid w:val="00102D7E"/>
    <w:rsid w:val="00103A49"/>
    <w:rsid w:val="001043C7"/>
    <w:rsid w:val="00104414"/>
    <w:rsid w:val="0010642F"/>
    <w:rsid w:val="00106FB4"/>
    <w:rsid w:val="0010743D"/>
    <w:rsid w:val="0011212C"/>
    <w:rsid w:val="00112E69"/>
    <w:rsid w:val="00113497"/>
    <w:rsid w:val="001136D8"/>
    <w:rsid w:val="00113B67"/>
    <w:rsid w:val="00113B9E"/>
    <w:rsid w:val="00116642"/>
    <w:rsid w:val="00116C76"/>
    <w:rsid w:val="00117D83"/>
    <w:rsid w:val="00120DAB"/>
    <w:rsid w:val="00121E84"/>
    <w:rsid w:val="001229B6"/>
    <w:rsid w:val="001246FC"/>
    <w:rsid w:val="00130A91"/>
    <w:rsid w:val="00130ACF"/>
    <w:rsid w:val="00130E93"/>
    <w:rsid w:val="001329EA"/>
    <w:rsid w:val="0013300D"/>
    <w:rsid w:val="00134F58"/>
    <w:rsid w:val="00136545"/>
    <w:rsid w:val="001368AD"/>
    <w:rsid w:val="00141429"/>
    <w:rsid w:val="00141877"/>
    <w:rsid w:val="00142A3B"/>
    <w:rsid w:val="00143D9F"/>
    <w:rsid w:val="001441FB"/>
    <w:rsid w:val="0015030E"/>
    <w:rsid w:val="001519B9"/>
    <w:rsid w:val="00152C70"/>
    <w:rsid w:val="00156075"/>
    <w:rsid w:val="00156909"/>
    <w:rsid w:val="00156E23"/>
    <w:rsid w:val="0016095A"/>
    <w:rsid w:val="001710F4"/>
    <w:rsid w:val="00171F28"/>
    <w:rsid w:val="00172171"/>
    <w:rsid w:val="00172659"/>
    <w:rsid w:val="00172D7F"/>
    <w:rsid w:val="00173284"/>
    <w:rsid w:val="00174D21"/>
    <w:rsid w:val="001767F0"/>
    <w:rsid w:val="00180FEF"/>
    <w:rsid w:val="00181C8F"/>
    <w:rsid w:val="00183514"/>
    <w:rsid w:val="00187BC1"/>
    <w:rsid w:val="001916BE"/>
    <w:rsid w:val="001921AC"/>
    <w:rsid w:val="00193573"/>
    <w:rsid w:val="00194EB0"/>
    <w:rsid w:val="00195117"/>
    <w:rsid w:val="00196BFE"/>
    <w:rsid w:val="001972B6"/>
    <w:rsid w:val="001A246F"/>
    <w:rsid w:val="001A3705"/>
    <w:rsid w:val="001A425E"/>
    <w:rsid w:val="001A4D54"/>
    <w:rsid w:val="001A4F67"/>
    <w:rsid w:val="001A51CC"/>
    <w:rsid w:val="001A55FE"/>
    <w:rsid w:val="001A5AF0"/>
    <w:rsid w:val="001B0512"/>
    <w:rsid w:val="001B0911"/>
    <w:rsid w:val="001B0A46"/>
    <w:rsid w:val="001B17C8"/>
    <w:rsid w:val="001B5248"/>
    <w:rsid w:val="001B62EB"/>
    <w:rsid w:val="001B6830"/>
    <w:rsid w:val="001B7C23"/>
    <w:rsid w:val="001B7D65"/>
    <w:rsid w:val="001B7D6A"/>
    <w:rsid w:val="001B7EC5"/>
    <w:rsid w:val="001C233E"/>
    <w:rsid w:val="001C3659"/>
    <w:rsid w:val="001C4279"/>
    <w:rsid w:val="001C6EAA"/>
    <w:rsid w:val="001C7854"/>
    <w:rsid w:val="001D1ACD"/>
    <w:rsid w:val="001D1C09"/>
    <w:rsid w:val="001D3976"/>
    <w:rsid w:val="001D3A35"/>
    <w:rsid w:val="001D779D"/>
    <w:rsid w:val="001D78FE"/>
    <w:rsid w:val="001E1A09"/>
    <w:rsid w:val="001E5FF4"/>
    <w:rsid w:val="001F0D44"/>
    <w:rsid w:val="001F171C"/>
    <w:rsid w:val="001F3B9D"/>
    <w:rsid w:val="001F40AE"/>
    <w:rsid w:val="001F49F3"/>
    <w:rsid w:val="001F4E88"/>
    <w:rsid w:val="001F66DF"/>
    <w:rsid w:val="001F721F"/>
    <w:rsid w:val="0020075E"/>
    <w:rsid w:val="00202F81"/>
    <w:rsid w:val="00203AAC"/>
    <w:rsid w:val="00203CB7"/>
    <w:rsid w:val="002047D8"/>
    <w:rsid w:val="002069D1"/>
    <w:rsid w:val="00210189"/>
    <w:rsid w:val="002108BE"/>
    <w:rsid w:val="0021191C"/>
    <w:rsid w:val="00212820"/>
    <w:rsid w:val="00213719"/>
    <w:rsid w:val="0021393F"/>
    <w:rsid w:val="002148C6"/>
    <w:rsid w:val="00214EB6"/>
    <w:rsid w:val="0021575D"/>
    <w:rsid w:val="00220BC1"/>
    <w:rsid w:val="00220CCC"/>
    <w:rsid w:val="00224F15"/>
    <w:rsid w:val="002266C3"/>
    <w:rsid w:val="002267C6"/>
    <w:rsid w:val="0022794A"/>
    <w:rsid w:val="00232962"/>
    <w:rsid w:val="00234C5A"/>
    <w:rsid w:val="00236017"/>
    <w:rsid w:val="00236D88"/>
    <w:rsid w:val="002376B3"/>
    <w:rsid w:val="00237CCA"/>
    <w:rsid w:val="00240B90"/>
    <w:rsid w:val="00241569"/>
    <w:rsid w:val="00243B47"/>
    <w:rsid w:val="00245A9F"/>
    <w:rsid w:val="002462C7"/>
    <w:rsid w:val="002476C8"/>
    <w:rsid w:val="0025149F"/>
    <w:rsid w:val="002514C6"/>
    <w:rsid w:val="00252CFD"/>
    <w:rsid w:val="00252E2B"/>
    <w:rsid w:val="002538A7"/>
    <w:rsid w:val="0025495E"/>
    <w:rsid w:val="00254A4A"/>
    <w:rsid w:val="0025524F"/>
    <w:rsid w:val="002557CF"/>
    <w:rsid w:val="00262940"/>
    <w:rsid w:val="00264877"/>
    <w:rsid w:val="002657B3"/>
    <w:rsid w:val="00266D43"/>
    <w:rsid w:val="002716FE"/>
    <w:rsid w:val="0027392C"/>
    <w:rsid w:val="002741B0"/>
    <w:rsid w:val="002741B8"/>
    <w:rsid w:val="00274F13"/>
    <w:rsid w:val="00276331"/>
    <w:rsid w:val="00280C5F"/>
    <w:rsid w:val="00281342"/>
    <w:rsid w:val="00283D9F"/>
    <w:rsid w:val="00287441"/>
    <w:rsid w:val="00287B9E"/>
    <w:rsid w:val="0029510F"/>
    <w:rsid w:val="00295860"/>
    <w:rsid w:val="00295ACE"/>
    <w:rsid w:val="00295ED6"/>
    <w:rsid w:val="002964C2"/>
    <w:rsid w:val="00296C99"/>
    <w:rsid w:val="0029726F"/>
    <w:rsid w:val="002A104E"/>
    <w:rsid w:val="002A263A"/>
    <w:rsid w:val="002A3244"/>
    <w:rsid w:val="002A32E5"/>
    <w:rsid w:val="002A4A1B"/>
    <w:rsid w:val="002A53D2"/>
    <w:rsid w:val="002A57C1"/>
    <w:rsid w:val="002A6BAE"/>
    <w:rsid w:val="002B0F2F"/>
    <w:rsid w:val="002B11CA"/>
    <w:rsid w:val="002B1B40"/>
    <w:rsid w:val="002B2E13"/>
    <w:rsid w:val="002B3812"/>
    <w:rsid w:val="002B52AC"/>
    <w:rsid w:val="002B5AB3"/>
    <w:rsid w:val="002B7554"/>
    <w:rsid w:val="002C20E7"/>
    <w:rsid w:val="002C253C"/>
    <w:rsid w:val="002C2A6A"/>
    <w:rsid w:val="002C37D9"/>
    <w:rsid w:val="002C4F8C"/>
    <w:rsid w:val="002C5F8A"/>
    <w:rsid w:val="002C62B9"/>
    <w:rsid w:val="002C6716"/>
    <w:rsid w:val="002C79B5"/>
    <w:rsid w:val="002C7B04"/>
    <w:rsid w:val="002D0245"/>
    <w:rsid w:val="002D058A"/>
    <w:rsid w:val="002D1E2C"/>
    <w:rsid w:val="002D1F24"/>
    <w:rsid w:val="002D2693"/>
    <w:rsid w:val="002D3829"/>
    <w:rsid w:val="002D41D7"/>
    <w:rsid w:val="002D4DBE"/>
    <w:rsid w:val="002D5368"/>
    <w:rsid w:val="002D54A7"/>
    <w:rsid w:val="002D5FD4"/>
    <w:rsid w:val="002D61EC"/>
    <w:rsid w:val="002D71E9"/>
    <w:rsid w:val="002E041E"/>
    <w:rsid w:val="002E086D"/>
    <w:rsid w:val="002E0DCD"/>
    <w:rsid w:val="002E0F8E"/>
    <w:rsid w:val="002E1757"/>
    <w:rsid w:val="002E3501"/>
    <w:rsid w:val="002E6089"/>
    <w:rsid w:val="002F4122"/>
    <w:rsid w:val="002F4F11"/>
    <w:rsid w:val="002F5387"/>
    <w:rsid w:val="002F5489"/>
    <w:rsid w:val="002F6F1D"/>
    <w:rsid w:val="00300232"/>
    <w:rsid w:val="00300CA6"/>
    <w:rsid w:val="00303113"/>
    <w:rsid w:val="00303F31"/>
    <w:rsid w:val="00304A04"/>
    <w:rsid w:val="00311F3E"/>
    <w:rsid w:val="00312340"/>
    <w:rsid w:val="003128CA"/>
    <w:rsid w:val="00312CAE"/>
    <w:rsid w:val="00314B98"/>
    <w:rsid w:val="00315EB7"/>
    <w:rsid w:val="00317B1E"/>
    <w:rsid w:val="00317D86"/>
    <w:rsid w:val="00320089"/>
    <w:rsid w:val="00320B9B"/>
    <w:rsid w:val="00321E36"/>
    <w:rsid w:val="003224B8"/>
    <w:rsid w:val="00322651"/>
    <w:rsid w:val="0032456C"/>
    <w:rsid w:val="003245A1"/>
    <w:rsid w:val="003270F9"/>
    <w:rsid w:val="00335836"/>
    <w:rsid w:val="00335DD2"/>
    <w:rsid w:val="003360B0"/>
    <w:rsid w:val="00337FF6"/>
    <w:rsid w:val="00340BF4"/>
    <w:rsid w:val="00341633"/>
    <w:rsid w:val="003439B8"/>
    <w:rsid w:val="00344CFC"/>
    <w:rsid w:val="00344EE7"/>
    <w:rsid w:val="00345113"/>
    <w:rsid w:val="00350821"/>
    <w:rsid w:val="003509A0"/>
    <w:rsid w:val="003509E4"/>
    <w:rsid w:val="003521DB"/>
    <w:rsid w:val="00353ACA"/>
    <w:rsid w:val="00355E7E"/>
    <w:rsid w:val="00356C84"/>
    <w:rsid w:val="00357CCE"/>
    <w:rsid w:val="00360BFD"/>
    <w:rsid w:val="00362446"/>
    <w:rsid w:val="00362D7D"/>
    <w:rsid w:val="00363DFD"/>
    <w:rsid w:val="0036479B"/>
    <w:rsid w:val="00372B53"/>
    <w:rsid w:val="00373A9C"/>
    <w:rsid w:val="00380D93"/>
    <w:rsid w:val="00381D6D"/>
    <w:rsid w:val="00382625"/>
    <w:rsid w:val="00386FEA"/>
    <w:rsid w:val="00387D1C"/>
    <w:rsid w:val="003900A7"/>
    <w:rsid w:val="003907F9"/>
    <w:rsid w:val="003915AC"/>
    <w:rsid w:val="00393201"/>
    <w:rsid w:val="00393501"/>
    <w:rsid w:val="00393800"/>
    <w:rsid w:val="0039389F"/>
    <w:rsid w:val="00394BB7"/>
    <w:rsid w:val="00395680"/>
    <w:rsid w:val="0039606D"/>
    <w:rsid w:val="00396A27"/>
    <w:rsid w:val="00396DA7"/>
    <w:rsid w:val="003A10BC"/>
    <w:rsid w:val="003A11A6"/>
    <w:rsid w:val="003A1FAB"/>
    <w:rsid w:val="003A28C8"/>
    <w:rsid w:val="003A7988"/>
    <w:rsid w:val="003B08D9"/>
    <w:rsid w:val="003B0DF4"/>
    <w:rsid w:val="003B50F9"/>
    <w:rsid w:val="003B6C62"/>
    <w:rsid w:val="003C248D"/>
    <w:rsid w:val="003C3112"/>
    <w:rsid w:val="003C335B"/>
    <w:rsid w:val="003C3A96"/>
    <w:rsid w:val="003C5040"/>
    <w:rsid w:val="003C5553"/>
    <w:rsid w:val="003C57A5"/>
    <w:rsid w:val="003C694F"/>
    <w:rsid w:val="003C7068"/>
    <w:rsid w:val="003C7E75"/>
    <w:rsid w:val="003D17E0"/>
    <w:rsid w:val="003D1FE6"/>
    <w:rsid w:val="003D23B6"/>
    <w:rsid w:val="003D3D85"/>
    <w:rsid w:val="003D40B4"/>
    <w:rsid w:val="003D5488"/>
    <w:rsid w:val="003D70A9"/>
    <w:rsid w:val="003E0CB1"/>
    <w:rsid w:val="003E0DC2"/>
    <w:rsid w:val="003E27C8"/>
    <w:rsid w:val="003E2D1F"/>
    <w:rsid w:val="003E3D6F"/>
    <w:rsid w:val="003E4B96"/>
    <w:rsid w:val="003E4D6E"/>
    <w:rsid w:val="003E65E9"/>
    <w:rsid w:val="003E6E81"/>
    <w:rsid w:val="003F17AA"/>
    <w:rsid w:val="003F2095"/>
    <w:rsid w:val="003F28C8"/>
    <w:rsid w:val="003F4971"/>
    <w:rsid w:val="003F51DC"/>
    <w:rsid w:val="004022AD"/>
    <w:rsid w:val="00402D79"/>
    <w:rsid w:val="00404194"/>
    <w:rsid w:val="00407050"/>
    <w:rsid w:val="00410454"/>
    <w:rsid w:val="0041052E"/>
    <w:rsid w:val="00412221"/>
    <w:rsid w:val="00412BE9"/>
    <w:rsid w:val="004143F1"/>
    <w:rsid w:val="004154D4"/>
    <w:rsid w:val="00416436"/>
    <w:rsid w:val="004219B1"/>
    <w:rsid w:val="00422003"/>
    <w:rsid w:val="00422147"/>
    <w:rsid w:val="00422382"/>
    <w:rsid w:val="00422612"/>
    <w:rsid w:val="00422615"/>
    <w:rsid w:val="004226AA"/>
    <w:rsid w:val="00422882"/>
    <w:rsid w:val="00425A78"/>
    <w:rsid w:val="00426899"/>
    <w:rsid w:val="00426B9A"/>
    <w:rsid w:val="00426EE2"/>
    <w:rsid w:val="00430ED2"/>
    <w:rsid w:val="00431B99"/>
    <w:rsid w:val="004334B6"/>
    <w:rsid w:val="00433FB6"/>
    <w:rsid w:val="00434DDB"/>
    <w:rsid w:val="004363B0"/>
    <w:rsid w:val="00436CF4"/>
    <w:rsid w:val="00440BD5"/>
    <w:rsid w:val="00442B94"/>
    <w:rsid w:val="00442D52"/>
    <w:rsid w:val="004430D2"/>
    <w:rsid w:val="004430DD"/>
    <w:rsid w:val="004437C3"/>
    <w:rsid w:val="00443B31"/>
    <w:rsid w:val="0045211B"/>
    <w:rsid w:val="00453878"/>
    <w:rsid w:val="00453C89"/>
    <w:rsid w:val="00453CC4"/>
    <w:rsid w:val="004546B2"/>
    <w:rsid w:val="00460889"/>
    <w:rsid w:val="00460B3A"/>
    <w:rsid w:val="004613CC"/>
    <w:rsid w:val="00463515"/>
    <w:rsid w:val="00463933"/>
    <w:rsid w:val="004645AA"/>
    <w:rsid w:val="00467426"/>
    <w:rsid w:val="00467896"/>
    <w:rsid w:val="00471C4F"/>
    <w:rsid w:val="004731F6"/>
    <w:rsid w:val="004732D6"/>
    <w:rsid w:val="00473646"/>
    <w:rsid w:val="004738F3"/>
    <w:rsid w:val="0047561D"/>
    <w:rsid w:val="004764E3"/>
    <w:rsid w:val="00477654"/>
    <w:rsid w:val="00480869"/>
    <w:rsid w:val="004815A1"/>
    <w:rsid w:val="00482FAD"/>
    <w:rsid w:val="00483B2C"/>
    <w:rsid w:val="0048421D"/>
    <w:rsid w:val="00484D31"/>
    <w:rsid w:val="00484DEB"/>
    <w:rsid w:val="00487467"/>
    <w:rsid w:val="00490CED"/>
    <w:rsid w:val="00491706"/>
    <w:rsid w:val="00494BF2"/>
    <w:rsid w:val="0049637B"/>
    <w:rsid w:val="004A03CA"/>
    <w:rsid w:val="004A1044"/>
    <w:rsid w:val="004A105B"/>
    <w:rsid w:val="004A346C"/>
    <w:rsid w:val="004A428C"/>
    <w:rsid w:val="004A4F4F"/>
    <w:rsid w:val="004A546C"/>
    <w:rsid w:val="004B092F"/>
    <w:rsid w:val="004B1434"/>
    <w:rsid w:val="004B1BA1"/>
    <w:rsid w:val="004B2EE3"/>
    <w:rsid w:val="004B3651"/>
    <w:rsid w:val="004B39B5"/>
    <w:rsid w:val="004B3B2E"/>
    <w:rsid w:val="004B5751"/>
    <w:rsid w:val="004B59A5"/>
    <w:rsid w:val="004B6C99"/>
    <w:rsid w:val="004B7604"/>
    <w:rsid w:val="004B7A31"/>
    <w:rsid w:val="004C381C"/>
    <w:rsid w:val="004C6F1D"/>
    <w:rsid w:val="004D0A89"/>
    <w:rsid w:val="004D1354"/>
    <w:rsid w:val="004D3278"/>
    <w:rsid w:val="004D391D"/>
    <w:rsid w:val="004D6B89"/>
    <w:rsid w:val="004D771A"/>
    <w:rsid w:val="004E0245"/>
    <w:rsid w:val="004E0B3F"/>
    <w:rsid w:val="004E1327"/>
    <w:rsid w:val="004E210F"/>
    <w:rsid w:val="004E2A72"/>
    <w:rsid w:val="004E70DB"/>
    <w:rsid w:val="004F1D78"/>
    <w:rsid w:val="004F1EEC"/>
    <w:rsid w:val="004F5083"/>
    <w:rsid w:val="004F59D0"/>
    <w:rsid w:val="004F6088"/>
    <w:rsid w:val="004F64B1"/>
    <w:rsid w:val="005012D2"/>
    <w:rsid w:val="00502187"/>
    <w:rsid w:val="00502796"/>
    <w:rsid w:val="00503387"/>
    <w:rsid w:val="00507162"/>
    <w:rsid w:val="0051052D"/>
    <w:rsid w:val="00511A3A"/>
    <w:rsid w:val="00511D13"/>
    <w:rsid w:val="0051363B"/>
    <w:rsid w:val="00515227"/>
    <w:rsid w:val="00515FF5"/>
    <w:rsid w:val="00517518"/>
    <w:rsid w:val="00520B9F"/>
    <w:rsid w:val="00521D6D"/>
    <w:rsid w:val="0052259B"/>
    <w:rsid w:val="00522DB7"/>
    <w:rsid w:val="005247B8"/>
    <w:rsid w:val="005247F9"/>
    <w:rsid w:val="00524AB9"/>
    <w:rsid w:val="00525856"/>
    <w:rsid w:val="0053393A"/>
    <w:rsid w:val="00536612"/>
    <w:rsid w:val="005405E9"/>
    <w:rsid w:val="00541E7A"/>
    <w:rsid w:val="00542208"/>
    <w:rsid w:val="0054230C"/>
    <w:rsid w:val="00543516"/>
    <w:rsid w:val="005438CF"/>
    <w:rsid w:val="00544DFA"/>
    <w:rsid w:val="005476BA"/>
    <w:rsid w:val="00550469"/>
    <w:rsid w:val="005505E1"/>
    <w:rsid w:val="00551C14"/>
    <w:rsid w:val="005530B0"/>
    <w:rsid w:val="00553DEC"/>
    <w:rsid w:val="00556D45"/>
    <w:rsid w:val="005572BE"/>
    <w:rsid w:val="00557875"/>
    <w:rsid w:val="00560098"/>
    <w:rsid w:val="00560DFE"/>
    <w:rsid w:val="00562137"/>
    <w:rsid w:val="005624B0"/>
    <w:rsid w:val="0056345D"/>
    <w:rsid w:val="005639C2"/>
    <w:rsid w:val="0056442C"/>
    <w:rsid w:val="0056526F"/>
    <w:rsid w:val="00566207"/>
    <w:rsid w:val="00566AB4"/>
    <w:rsid w:val="00566FA6"/>
    <w:rsid w:val="00567E61"/>
    <w:rsid w:val="00570405"/>
    <w:rsid w:val="00570E6D"/>
    <w:rsid w:val="00571A7F"/>
    <w:rsid w:val="00571BB0"/>
    <w:rsid w:val="005722C4"/>
    <w:rsid w:val="00573A51"/>
    <w:rsid w:val="00574240"/>
    <w:rsid w:val="00576B9F"/>
    <w:rsid w:val="00577B74"/>
    <w:rsid w:val="00577F68"/>
    <w:rsid w:val="00580748"/>
    <w:rsid w:val="005829C9"/>
    <w:rsid w:val="00582B74"/>
    <w:rsid w:val="00587184"/>
    <w:rsid w:val="00587427"/>
    <w:rsid w:val="00587591"/>
    <w:rsid w:val="005879BD"/>
    <w:rsid w:val="00587C06"/>
    <w:rsid w:val="005919EB"/>
    <w:rsid w:val="005930A4"/>
    <w:rsid w:val="005965CF"/>
    <w:rsid w:val="00596771"/>
    <w:rsid w:val="005A0F9D"/>
    <w:rsid w:val="005A1C49"/>
    <w:rsid w:val="005A3746"/>
    <w:rsid w:val="005A71D5"/>
    <w:rsid w:val="005B00DE"/>
    <w:rsid w:val="005B1D80"/>
    <w:rsid w:val="005B28BD"/>
    <w:rsid w:val="005B3808"/>
    <w:rsid w:val="005B435C"/>
    <w:rsid w:val="005B609F"/>
    <w:rsid w:val="005B7859"/>
    <w:rsid w:val="005C2D3A"/>
    <w:rsid w:val="005C357D"/>
    <w:rsid w:val="005C3677"/>
    <w:rsid w:val="005C54FE"/>
    <w:rsid w:val="005C5A6C"/>
    <w:rsid w:val="005D0869"/>
    <w:rsid w:val="005D0EE8"/>
    <w:rsid w:val="005D0F8B"/>
    <w:rsid w:val="005D1756"/>
    <w:rsid w:val="005D1BED"/>
    <w:rsid w:val="005D1F21"/>
    <w:rsid w:val="005D4444"/>
    <w:rsid w:val="005D5F43"/>
    <w:rsid w:val="005D604E"/>
    <w:rsid w:val="005E13A0"/>
    <w:rsid w:val="005E1651"/>
    <w:rsid w:val="005E4D90"/>
    <w:rsid w:val="005F044D"/>
    <w:rsid w:val="005F0671"/>
    <w:rsid w:val="005F1385"/>
    <w:rsid w:val="005F1E5B"/>
    <w:rsid w:val="005F4FD5"/>
    <w:rsid w:val="005F6648"/>
    <w:rsid w:val="005F77B7"/>
    <w:rsid w:val="005F7C0A"/>
    <w:rsid w:val="0060326B"/>
    <w:rsid w:val="0060338A"/>
    <w:rsid w:val="00603C47"/>
    <w:rsid w:val="00613A04"/>
    <w:rsid w:val="00615C06"/>
    <w:rsid w:val="00615F99"/>
    <w:rsid w:val="0061656F"/>
    <w:rsid w:val="00620C21"/>
    <w:rsid w:val="00621F07"/>
    <w:rsid w:val="00622FD3"/>
    <w:rsid w:val="00623FE6"/>
    <w:rsid w:val="0062418F"/>
    <w:rsid w:val="006241EC"/>
    <w:rsid w:val="006266DC"/>
    <w:rsid w:val="006274DF"/>
    <w:rsid w:val="0063508F"/>
    <w:rsid w:val="00636157"/>
    <w:rsid w:val="0063658C"/>
    <w:rsid w:val="00640591"/>
    <w:rsid w:val="00641D14"/>
    <w:rsid w:val="00643D74"/>
    <w:rsid w:val="00644196"/>
    <w:rsid w:val="00645351"/>
    <w:rsid w:val="0064633A"/>
    <w:rsid w:val="00647097"/>
    <w:rsid w:val="0065006A"/>
    <w:rsid w:val="00650B28"/>
    <w:rsid w:val="006543FF"/>
    <w:rsid w:val="00657337"/>
    <w:rsid w:val="00657736"/>
    <w:rsid w:val="006628D7"/>
    <w:rsid w:val="0066769B"/>
    <w:rsid w:val="006679E6"/>
    <w:rsid w:val="00667D2D"/>
    <w:rsid w:val="00667FA2"/>
    <w:rsid w:val="006719F4"/>
    <w:rsid w:val="0067275C"/>
    <w:rsid w:val="006727D1"/>
    <w:rsid w:val="00672BD8"/>
    <w:rsid w:val="00673DE5"/>
    <w:rsid w:val="0067437D"/>
    <w:rsid w:val="006744CA"/>
    <w:rsid w:val="00675349"/>
    <w:rsid w:val="0067604F"/>
    <w:rsid w:val="00681242"/>
    <w:rsid w:val="00682D3F"/>
    <w:rsid w:val="006837D8"/>
    <w:rsid w:val="00685A41"/>
    <w:rsid w:val="00686DF3"/>
    <w:rsid w:val="00686ED5"/>
    <w:rsid w:val="00690461"/>
    <w:rsid w:val="00691D07"/>
    <w:rsid w:val="00691F30"/>
    <w:rsid w:val="00692A07"/>
    <w:rsid w:val="006974DB"/>
    <w:rsid w:val="006A0FF9"/>
    <w:rsid w:val="006A2CD5"/>
    <w:rsid w:val="006A3DF7"/>
    <w:rsid w:val="006A5D65"/>
    <w:rsid w:val="006A72CC"/>
    <w:rsid w:val="006A79AC"/>
    <w:rsid w:val="006B089C"/>
    <w:rsid w:val="006B0D1A"/>
    <w:rsid w:val="006B20D7"/>
    <w:rsid w:val="006B2526"/>
    <w:rsid w:val="006B2EFE"/>
    <w:rsid w:val="006B3D3F"/>
    <w:rsid w:val="006B4558"/>
    <w:rsid w:val="006B690D"/>
    <w:rsid w:val="006B73C2"/>
    <w:rsid w:val="006C10FE"/>
    <w:rsid w:val="006C11D3"/>
    <w:rsid w:val="006C175A"/>
    <w:rsid w:val="006C6613"/>
    <w:rsid w:val="006D0812"/>
    <w:rsid w:val="006D3B06"/>
    <w:rsid w:val="006D48C0"/>
    <w:rsid w:val="006D55C2"/>
    <w:rsid w:val="006D583B"/>
    <w:rsid w:val="006D5C47"/>
    <w:rsid w:val="006D5EFD"/>
    <w:rsid w:val="006D61D7"/>
    <w:rsid w:val="006E1C39"/>
    <w:rsid w:val="006E2ED2"/>
    <w:rsid w:val="006E530D"/>
    <w:rsid w:val="006E54F7"/>
    <w:rsid w:val="006E5AF2"/>
    <w:rsid w:val="006E613C"/>
    <w:rsid w:val="006E639B"/>
    <w:rsid w:val="006E6DDD"/>
    <w:rsid w:val="006E7A52"/>
    <w:rsid w:val="006F02A6"/>
    <w:rsid w:val="006F0EE4"/>
    <w:rsid w:val="006F5203"/>
    <w:rsid w:val="006F560B"/>
    <w:rsid w:val="006F5858"/>
    <w:rsid w:val="00700025"/>
    <w:rsid w:val="007009E3"/>
    <w:rsid w:val="0070248D"/>
    <w:rsid w:val="0070296F"/>
    <w:rsid w:val="007038ED"/>
    <w:rsid w:val="00704EEE"/>
    <w:rsid w:val="007070A3"/>
    <w:rsid w:val="00707295"/>
    <w:rsid w:val="00711018"/>
    <w:rsid w:val="00712323"/>
    <w:rsid w:val="00713983"/>
    <w:rsid w:val="00715136"/>
    <w:rsid w:val="00716603"/>
    <w:rsid w:val="00716FB8"/>
    <w:rsid w:val="007174A4"/>
    <w:rsid w:val="007177CF"/>
    <w:rsid w:val="00717AEB"/>
    <w:rsid w:val="00724FC2"/>
    <w:rsid w:val="00725CED"/>
    <w:rsid w:val="00730CA1"/>
    <w:rsid w:val="00731631"/>
    <w:rsid w:val="00732EE1"/>
    <w:rsid w:val="00735468"/>
    <w:rsid w:val="0073691F"/>
    <w:rsid w:val="0074050D"/>
    <w:rsid w:val="00740C04"/>
    <w:rsid w:val="0074127B"/>
    <w:rsid w:val="00741823"/>
    <w:rsid w:val="00743A47"/>
    <w:rsid w:val="0074496B"/>
    <w:rsid w:val="007534F3"/>
    <w:rsid w:val="007541C6"/>
    <w:rsid w:val="0075493A"/>
    <w:rsid w:val="00755A32"/>
    <w:rsid w:val="00755FC5"/>
    <w:rsid w:val="00756F1B"/>
    <w:rsid w:val="00757C3E"/>
    <w:rsid w:val="00761904"/>
    <w:rsid w:val="00761C1E"/>
    <w:rsid w:val="00763C69"/>
    <w:rsid w:val="007658BD"/>
    <w:rsid w:val="00770852"/>
    <w:rsid w:val="0077471A"/>
    <w:rsid w:val="00774878"/>
    <w:rsid w:val="00776F89"/>
    <w:rsid w:val="00777535"/>
    <w:rsid w:val="00781FFF"/>
    <w:rsid w:val="00782181"/>
    <w:rsid w:val="00783D2D"/>
    <w:rsid w:val="007849F2"/>
    <w:rsid w:val="00786217"/>
    <w:rsid w:val="00786474"/>
    <w:rsid w:val="00786E87"/>
    <w:rsid w:val="00786FF7"/>
    <w:rsid w:val="00790649"/>
    <w:rsid w:val="00790EE2"/>
    <w:rsid w:val="00792B87"/>
    <w:rsid w:val="00792C72"/>
    <w:rsid w:val="007935C1"/>
    <w:rsid w:val="0079404D"/>
    <w:rsid w:val="00794592"/>
    <w:rsid w:val="007945C5"/>
    <w:rsid w:val="00794E8C"/>
    <w:rsid w:val="00795FAE"/>
    <w:rsid w:val="0079791B"/>
    <w:rsid w:val="007A0B99"/>
    <w:rsid w:val="007A1B65"/>
    <w:rsid w:val="007A32CA"/>
    <w:rsid w:val="007A41D3"/>
    <w:rsid w:val="007A4A71"/>
    <w:rsid w:val="007A55AD"/>
    <w:rsid w:val="007A5EFC"/>
    <w:rsid w:val="007B0C2C"/>
    <w:rsid w:val="007B1164"/>
    <w:rsid w:val="007B3C25"/>
    <w:rsid w:val="007B5A02"/>
    <w:rsid w:val="007C03F4"/>
    <w:rsid w:val="007C0A90"/>
    <w:rsid w:val="007C0D6D"/>
    <w:rsid w:val="007C2BE4"/>
    <w:rsid w:val="007C4F63"/>
    <w:rsid w:val="007C50F7"/>
    <w:rsid w:val="007C5125"/>
    <w:rsid w:val="007C595D"/>
    <w:rsid w:val="007C7171"/>
    <w:rsid w:val="007D253B"/>
    <w:rsid w:val="007D40F2"/>
    <w:rsid w:val="007D4385"/>
    <w:rsid w:val="007D460F"/>
    <w:rsid w:val="007D54C9"/>
    <w:rsid w:val="007D6993"/>
    <w:rsid w:val="007D7047"/>
    <w:rsid w:val="007E12BD"/>
    <w:rsid w:val="007E3377"/>
    <w:rsid w:val="007E33F9"/>
    <w:rsid w:val="007E3D2A"/>
    <w:rsid w:val="007E5B2A"/>
    <w:rsid w:val="007E67B1"/>
    <w:rsid w:val="007E76FB"/>
    <w:rsid w:val="007F56CA"/>
    <w:rsid w:val="007F74B2"/>
    <w:rsid w:val="007F7A0D"/>
    <w:rsid w:val="00802E5A"/>
    <w:rsid w:val="00802E9C"/>
    <w:rsid w:val="008046F1"/>
    <w:rsid w:val="00804AAC"/>
    <w:rsid w:val="00804ED8"/>
    <w:rsid w:val="0080715C"/>
    <w:rsid w:val="00807F45"/>
    <w:rsid w:val="008120E0"/>
    <w:rsid w:val="00812D1B"/>
    <w:rsid w:val="0081346C"/>
    <w:rsid w:val="00813BE4"/>
    <w:rsid w:val="00814889"/>
    <w:rsid w:val="00814ABA"/>
    <w:rsid w:val="00817AEF"/>
    <w:rsid w:val="00822DA1"/>
    <w:rsid w:val="00825B27"/>
    <w:rsid w:val="008267C4"/>
    <w:rsid w:val="00830A80"/>
    <w:rsid w:val="00831064"/>
    <w:rsid w:val="008317FE"/>
    <w:rsid w:val="00832897"/>
    <w:rsid w:val="00832AED"/>
    <w:rsid w:val="00835DD1"/>
    <w:rsid w:val="0083630B"/>
    <w:rsid w:val="00843CE7"/>
    <w:rsid w:val="00844AE6"/>
    <w:rsid w:val="00845CC3"/>
    <w:rsid w:val="0085051F"/>
    <w:rsid w:val="00850E57"/>
    <w:rsid w:val="0085224B"/>
    <w:rsid w:val="0085277C"/>
    <w:rsid w:val="00853F7C"/>
    <w:rsid w:val="00857A05"/>
    <w:rsid w:val="00861742"/>
    <w:rsid w:val="00863CAB"/>
    <w:rsid w:val="008655B3"/>
    <w:rsid w:val="0086709F"/>
    <w:rsid w:val="0086733E"/>
    <w:rsid w:val="008673E5"/>
    <w:rsid w:val="00867760"/>
    <w:rsid w:val="00867EAF"/>
    <w:rsid w:val="00870CAB"/>
    <w:rsid w:val="0087277B"/>
    <w:rsid w:val="00872E16"/>
    <w:rsid w:val="00873F42"/>
    <w:rsid w:val="008749E0"/>
    <w:rsid w:val="00874ABA"/>
    <w:rsid w:val="00874CC9"/>
    <w:rsid w:val="008762D0"/>
    <w:rsid w:val="00876418"/>
    <w:rsid w:val="008774FF"/>
    <w:rsid w:val="00880212"/>
    <w:rsid w:val="00881AF3"/>
    <w:rsid w:val="00884717"/>
    <w:rsid w:val="008869AD"/>
    <w:rsid w:val="00886A78"/>
    <w:rsid w:val="00887B09"/>
    <w:rsid w:val="0089236C"/>
    <w:rsid w:val="00892595"/>
    <w:rsid w:val="00892C1B"/>
    <w:rsid w:val="00893604"/>
    <w:rsid w:val="008A1FB4"/>
    <w:rsid w:val="008A2309"/>
    <w:rsid w:val="008A2F5F"/>
    <w:rsid w:val="008A35F3"/>
    <w:rsid w:val="008A3787"/>
    <w:rsid w:val="008A4582"/>
    <w:rsid w:val="008A50BB"/>
    <w:rsid w:val="008A66B9"/>
    <w:rsid w:val="008A6DA3"/>
    <w:rsid w:val="008A7105"/>
    <w:rsid w:val="008B1EF0"/>
    <w:rsid w:val="008B2050"/>
    <w:rsid w:val="008B39C7"/>
    <w:rsid w:val="008B3EAC"/>
    <w:rsid w:val="008B67E5"/>
    <w:rsid w:val="008B79D3"/>
    <w:rsid w:val="008C44B2"/>
    <w:rsid w:val="008C4722"/>
    <w:rsid w:val="008C5C10"/>
    <w:rsid w:val="008C64E8"/>
    <w:rsid w:val="008D0BD5"/>
    <w:rsid w:val="008D1550"/>
    <w:rsid w:val="008D1763"/>
    <w:rsid w:val="008D38DF"/>
    <w:rsid w:val="008D479F"/>
    <w:rsid w:val="008D496E"/>
    <w:rsid w:val="008D61ED"/>
    <w:rsid w:val="008E0056"/>
    <w:rsid w:val="008E1BAE"/>
    <w:rsid w:val="008E1E99"/>
    <w:rsid w:val="008E211A"/>
    <w:rsid w:val="008E3FE0"/>
    <w:rsid w:val="008E4A1F"/>
    <w:rsid w:val="008E56A2"/>
    <w:rsid w:val="008E5AF0"/>
    <w:rsid w:val="008E5BE7"/>
    <w:rsid w:val="008E735D"/>
    <w:rsid w:val="008F1500"/>
    <w:rsid w:val="008F3229"/>
    <w:rsid w:val="008F375C"/>
    <w:rsid w:val="008F5FE2"/>
    <w:rsid w:val="0090331A"/>
    <w:rsid w:val="00907189"/>
    <w:rsid w:val="00907A68"/>
    <w:rsid w:val="009101C1"/>
    <w:rsid w:val="00913BFB"/>
    <w:rsid w:val="00914C9E"/>
    <w:rsid w:val="0091558D"/>
    <w:rsid w:val="0091699C"/>
    <w:rsid w:val="009203B5"/>
    <w:rsid w:val="00920620"/>
    <w:rsid w:val="0092665E"/>
    <w:rsid w:val="00927B29"/>
    <w:rsid w:val="00930639"/>
    <w:rsid w:val="00934408"/>
    <w:rsid w:val="00935647"/>
    <w:rsid w:val="00935DDA"/>
    <w:rsid w:val="009367DC"/>
    <w:rsid w:val="00936F5C"/>
    <w:rsid w:val="00941CED"/>
    <w:rsid w:val="009422E6"/>
    <w:rsid w:val="00942AFE"/>
    <w:rsid w:val="00942B75"/>
    <w:rsid w:val="00942DF0"/>
    <w:rsid w:val="00943F4F"/>
    <w:rsid w:val="00944B32"/>
    <w:rsid w:val="00944E72"/>
    <w:rsid w:val="00951216"/>
    <w:rsid w:val="00951F81"/>
    <w:rsid w:val="00952A3D"/>
    <w:rsid w:val="00953C7F"/>
    <w:rsid w:val="00954AFF"/>
    <w:rsid w:val="00954CA0"/>
    <w:rsid w:val="00955399"/>
    <w:rsid w:val="0095639D"/>
    <w:rsid w:val="00956479"/>
    <w:rsid w:val="009564CF"/>
    <w:rsid w:val="00960D14"/>
    <w:rsid w:val="00961725"/>
    <w:rsid w:val="00962626"/>
    <w:rsid w:val="00962855"/>
    <w:rsid w:val="009644C1"/>
    <w:rsid w:val="0096481E"/>
    <w:rsid w:val="00965345"/>
    <w:rsid w:val="009659EB"/>
    <w:rsid w:val="00966114"/>
    <w:rsid w:val="00967CA0"/>
    <w:rsid w:val="009704D7"/>
    <w:rsid w:val="009735E3"/>
    <w:rsid w:val="00974728"/>
    <w:rsid w:val="00975181"/>
    <w:rsid w:val="00975C40"/>
    <w:rsid w:val="00976CF1"/>
    <w:rsid w:val="00976E64"/>
    <w:rsid w:val="00977C71"/>
    <w:rsid w:val="009829CC"/>
    <w:rsid w:val="009834A3"/>
    <w:rsid w:val="00984755"/>
    <w:rsid w:val="00990A88"/>
    <w:rsid w:val="00991924"/>
    <w:rsid w:val="00991E61"/>
    <w:rsid w:val="0099289F"/>
    <w:rsid w:val="00995CE4"/>
    <w:rsid w:val="00996128"/>
    <w:rsid w:val="00997B5E"/>
    <w:rsid w:val="009A15C5"/>
    <w:rsid w:val="009A2940"/>
    <w:rsid w:val="009A4333"/>
    <w:rsid w:val="009A4CBE"/>
    <w:rsid w:val="009A55EF"/>
    <w:rsid w:val="009A6532"/>
    <w:rsid w:val="009A725C"/>
    <w:rsid w:val="009B40FA"/>
    <w:rsid w:val="009B4A00"/>
    <w:rsid w:val="009B57BB"/>
    <w:rsid w:val="009B7174"/>
    <w:rsid w:val="009C199A"/>
    <w:rsid w:val="009C1B31"/>
    <w:rsid w:val="009C6C15"/>
    <w:rsid w:val="009C7F96"/>
    <w:rsid w:val="009D076A"/>
    <w:rsid w:val="009D475D"/>
    <w:rsid w:val="009D6868"/>
    <w:rsid w:val="009D6CC3"/>
    <w:rsid w:val="009D776F"/>
    <w:rsid w:val="009E01DD"/>
    <w:rsid w:val="009E04F0"/>
    <w:rsid w:val="009E0E78"/>
    <w:rsid w:val="009E2793"/>
    <w:rsid w:val="009E3D1F"/>
    <w:rsid w:val="009E3E54"/>
    <w:rsid w:val="009E407F"/>
    <w:rsid w:val="009E4959"/>
    <w:rsid w:val="009E611C"/>
    <w:rsid w:val="009F1383"/>
    <w:rsid w:val="009F180E"/>
    <w:rsid w:val="009F1D1A"/>
    <w:rsid w:val="009F4849"/>
    <w:rsid w:val="009F6EEE"/>
    <w:rsid w:val="009F70FA"/>
    <w:rsid w:val="009F7CBB"/>
    <w:rsid w:val="00A0077D"/>
    <w:rsid w:val="00A00AB6"/>
    <w:rsid w:val="00A01BEB"/>
    <w:rsid w:val="00A02490"/>
    <w:rsid w:val="00A03314"/>
    <w:rsid w:val="00A04211"/>
    <w:rsid w:val="00A045F3"/>
    <w:rsid w:val="00A06C2B"/>
    <w:rsid w:val="00A06E76"/>
    <w:rsid w:val="00A073D2"/>
    <w:rsid w:val="00A07764"/>
    <w:rsid w:val="00A12769"/>
    <w:rsid w:val="00A12F0D"/>
    <w:rsid w:val="00A13921"/>
    <w:rsid w:val="00A147F0"/>
    <w:rsid w:val="00A15183"/>
    <w:rsid w:val="00A15573"/>
    <w:rsid w:val="00A15B1D"/>
    <w:rsid w:val="00A160E8"/>
    <w:rsid w:val="00A170B4"/>
    <w:rsid w:val="00A1721A"/>
    <w:rsid w:val="00A17C09"/>
    <w:rsid w:val="00A231E3"/>
    <w:rsid w:val="00A2376B"/>
    <w:rsid w:val="00A23F71"/>
    <w:rsid w:val="00A24CAC"/>
    <w:rsid w:val="00A25DBB"/>
    <w:rsid w:val="00A30B66"/>
    <w:rsid w:val="00A328AF"/>
    <w:rsid w:val="00A34960"/>
    <w:rsid w:val="00A403F0"/>
    <w:rsid w:val="00A4170C"/>
    <w:rsid w:val="00A43232"/>
    <w:rsid w:val="00A45F50"/>
    <w:rsid w:val="00A467CB"/>
    <w:rsid w:val="00A50A63"/>
    <w:rsid w:val="00A523AC"/>
    <w:rsid w:val="00A53E15"/>
    <w:rsid w:val="00A54D21"/>
    <w:rsid w:val="00A619A2"/>
    <w:rsid w:val="00A633DF"/>
    <w:rsid w:val="00A64B29"/>
    <w:rsid w:val="00A653DE"/>
    <w:rsid w:val="00A70E48"/>
    <w:rsid w:val="00A71219"/>
    <w:rsid w:val="00A71582"/>
    <w:rsid w:val="00A719B4"/>
    <w:rsid w:val="00A7709B"/>
    <w:rsid w:val="00A80018"/>
    <w:rsid w:val="00A8058D"/>
    <w:rsid w:val="00A80FA9"/>
    <w:rsid w:val="00A82860"/>
    <w:rsid w:val="00A83066"/>
    <w:rsid w:val="00A8368A"/>
    <w:rsid w:val="00A83B18"/>
    <w:rsid w:val="00A8463F"/>
    <w:rsid w:val="00A848CF"/>
    <w:rsid w:val="00A84E49"/>
    <w:rsid w:val="00A86709"/>
    <w:rsid w:val="00A92E9F"/>
    <w:rsid w:val="00A933C2"/>
    <w:rsid w:val="00A946ED"/>
    <w:rsid w:val="00A9505A"/>
    <w:rsid w:val="00A95D7E"/>
    <w:rsid w:val="00A97302"/>
    <w:rsid w:val="00A97C47"/>
    <w:rsid w:val="00A97CDE"/>
    <w:rsid w:val="00AA23C0"/>
    <w:rsid w:val="00AA4F68"/>
    <w:rsid w:val="00AA599A"/>
    <w:rsid w:val="00AB131E"/>
    <w:rsid w:val="00AB18B6"/>
    <w:rsid w:val="00AB3963"/>
    <w:rsid w:val="00AB4CA2"/>
    <w:rsid w:val="00AB559C"/>
    <w:rsid w:val="00AB56A0"/>
    <w:rsid w:val="00AB5C3A"/>
    <w:rsid w:val="00AB60C6"/>
    <w:rsid w:val="00AB6EF4"/>
    <w:rsid w:val="00AB7E8B"/>
    <w:rsid w:val="00AC07F6"/>
    <w:rsid w:val="00AC1CE7"/>
    <w:rsid w:val="00AC2090"/>
    <w:rsid w:val="00AC6694"/>
    <w:rsid w:val="00AC6786"/>
    <w:rsid w:val="00AC6DF2"/>
    <w:rsid w:val="00AC6F45"/>
    <w:rsid w:val="00AC71FE"/>
    <w:rsid w:val="00AD0C92"/>
    <w:rsid w:val="00AD2005"/>
    <w:rsid w:val="00AD2284"/>
    <w:rsid w:val="00AD2505"/>
    <w:rsid w:val="00AD2CA0"/>
    <w:rsid w:val="00AD398E"/>
    <w:rsid w:val="00AD4B80"/>
    <w:rsid w:val="00AD603C"/>
    <w:rsid w:val="00AD665E"/>
    <w:rsid w:val="00AD6883"/>
    <w:rsid w:val="00AD79DE"/>
    <w:rsid w:val="00AE1899"/>
    <w:rsid w:val="00AE1A43"/>
    <w:rsid w:val="00AE24FA"/>
    <w:rsid w:val="00AE45F0"/>
    <w:rsid w:val="00AF0999"/>
    <w:rsid w:val="00AF21FF"/>
    <w:rsid w:val="00AF2488"/>
    <w:rsid w:val="00AF2B78"/>
    <w:rsid w:val="00AF45F9"/>
    <w:rsid w:val="00AF704D"/>
    <w:rsid w:val="00AF7288"/>
    <w:rsid w:val="00AF7C62"/>
    <w:rsid w:val="00B007F8"/>
    <w:rsid w:val="00B03339"/>
    <w:rsid w:val="00B03D5A"/>
    <w:rsid w:val="00B0563A"/>
    <w:rsid w:val="00B0591A"/>
    <w:rsid w:val="00B0724E"/>
    <w:rsid w:val="00B10D1A"/>
    <w:rsid w:val="00B1158F"/>
    <w:rsid w:val="00B119AB"/>
    <w:rsid w:val="00B1314A"/>
    <w:rsid w:val="00B1363B"/>
    <w:rsid w:val="00B1530C"/>
    <w:rsid w:val="00B1609F"/>
    <w:rsid w:val="00B16ED9"/>
    <w:rsid w:val="00B17F44"/>
    <w:rsid w:val="00B2094D"/>
    <w:rsid w:val="00B21BF0"/>
    <w:rsid w:val="00B246E4"/>
    <w:rsid w:val="00B24BFB"/>
    <w:rsid w:val="00B256BF"/>
    <w:rsid w:val="00B2640B"/>
    <w:rsid w:val="00B3333A"/>
    <w:rsid w:val="00B33EEC"/>
    <w:rsid w:val="00B34A13"/>
    <w:rsid w:val="00B360A3"/>
    <w:rsid w:val="00B408E1"/>
    <w:rsid w:val="00B42BA6"/>
    <w:rsid w:val="00B42C40"/>
    <w:rsid w:val="00B42EC3"/>
    <w:rsid w:val="00B43200"/>
    <w:rsid w:val="00B432C1"/>
    <w:rsid w:val="00B43420"/>
    <w:rsid w:val="00B45087"/>
    <w:rsid w:val="00B45F90"/>
    <w:rsid w:val="00B46A6F"/>
    <w:rsid w:val="00B46F2C"/>
    <w:rsid w:val="00B50567"/>
    <w:rsid w:val="00B50C28"/>
    <w:rsid w:val="00B51852"/>
    <w:rsid w:val="00B52D18"/>
    <w:rsid w:val="00B54BBA"/>
    <w:rsid w:val="00B5507B"/>
    <w:rsid w:val="00B57F1A"/>
    <w:rsid w:val="00B60651"/>
    <w:rsid w:val="00B63939"/>
    <w:rsid w:val="00B63BEE"/>
    <w:rsid w:val="00B64C1C"/>
    <w:rsid w:val="00B6506D"/>
    <w:rsid w:val="00B6700D"/>
    <w:rsid w:val="00B71110"/>
    <w:rsid w:val="00B7192C"/>
    <w:rsid w:val="00B73B1B"/>
    <w:rsid w:val="00B74273"/>
    <w:rsid w:val="00B77042"/>
    <w:rsid w:val="00B83C84"/>
    <w:rsid w:val="00B85468"/>
    <w:rsid w:val="00B8600B"/>
    <w:rsid w:val="00B86E87"/>
    <w:rsid w:val="00B874C5"/>
    <w:rsid w:val="00B876EF"/>
    <w:rsid w:val="00B87AF7"/>
    <w:rsid w:val="00B91D79"/>
    <w:rsid w:val="00B93E21"/>
    <w:rsid w:val="00BA1C6C"/>
    <w:rsid w:val="00BA24B1"/>
    <w:rsid w:val="00BA26C8"/>
    <w:rsid w:val="00BA286C"/>
    <w:rsid w:val="00BA46D8"/>
    <w:rsid w:val="00BA51BA"/>
    <w:rsid w:val="00BA5329"/>
    <w:rsid w:val="00BA5C7F"/>
    <w:rsid w:val="00BA788F"/>
    <w:rsid w:val="00BA78ED"/>
    <w:rsid w:val="00BB03FD"/>
    <w:rsid w:val="00BB36A8"/>
    <w:rsid w:val="00BB5324"/>
    <w:rsid w:val="00BB56CA"/>
    <w:rsid w:val="00BB73A4"/>
    <w:rsid w:val="00BC1361"/>
    <w:rsid w:val="00BC1F15"/>
    <w:rsid w:val="00BC3AF8"/>
    <w:rsid w:val="00BC45F4"/>
    <w:rsid w:val="00BC5FB9"/>
    <w:rsid w:val="00BC6EF1"/>
    <w:rsid w:val="00BC762D"/>
    <w:rsid w:val="00BC7927"/>
    <w:rsid w:val="00BC7ECC"/>
    <w:rsid w:val="00BD1BE3"/>
    <w:rsid w:val="00BD5594"/>
    <w:rsid w:val="00BD5736"/>
    <w:rsid w:val="00BE139A"/>
    <w:rsid w:val="00BE1A67"/>
    <w:rsid w:val="00BE2184"/>
    <w:rsid w:val="00BE2302"/>
    <w:rsid w:val="00BE2614"/>
    <w:rsid w:val="00BE3550"/>
    <w:rsid w:val="00BE3F6B"/>
    <w:rsid w:val="00BE64CA"/>
    <w:rsid w:val="00BF3A0A"/>
    <w:rsid w:val="00BF3B9A"/>
    <w:rsid w:val="00BF3C95"/>
    <w:rsid w:val="00BF63D8"/>
    <w:rsid w:val="00BF6F80"/>
    <w:rsid w:val="00BF7AD6"/>
    <w:rsid w:val="00C000F8"/>
    <w:rsid w:val="00C00D5B"/>
    <w:rsid w:val="00C0310B"/>
    <w:rsid w:val="00C037A2"/>
    <w:rsid w:val="00C03F98"/>
    <w:rsid w:val="00C04E20"/>
    <w:rsid w:val="00C04E2C"/>
    <w:rsid w:val="00C072CD"/>
    <w:rsid w:val="00C112D3"/>
    <w:rsid w:val="00C12401"/>
    <w:rsid w:val="00C13336"/>
    <w:rsid w:val="00C16665"/>
    <w:rsid w:val="00C170FA"/>
    <w:rsid w:val="00C21864"/>
    <w:rsid w:val="00C21A62"/>
    <w:rsid w:val="00C21A9F"/>
    <w:rsid w:val="00C221E1"/>
    <w:rsid w:val="00C23F0E"/>
    <w:rsid w:val="00C25148"/>
    <w:rsid w:val="00C25B06"/>
    <w:rsid w:val="00C25B7E"/>
    <w:rsid w:val="00C26AB2"/>
    <w:rsid w:val="00C27B46"/>
    <w:rsid w:val="00C30AA7"/>
    <w:rsid w:val="00C3159B"/>
    <w:rsid w:val="00C316F6"/>
    <w:rsid w:val="00C32E69"/>
    <w:rsid w:val="00C33767"/>
    <w:rsid w:val="00C338F0"/>
    <w:rsid w:val="00C35020"/>
    <w:rsid w:val="00C35D8B"/>
    <w:rsid w:val="00C36107"/>
    <w:rsid w:val="00C37C26"/>
    <w:rsid w:val="00C41210"/>
    <w:rsid w:val="00C41BE4"/>
    <w:rsid w:val="00C4222D"/>
    <w:rsid w:val="00C43916"/>
    <w:rsid w:val="00C43CAE"/>
    <w:rsid w:val="00C44CE1"/>
    <w:rsid w:val="00C45BCC"/>
    <w:rsid w:val="00C4736C"/>
    <w:rsid w:val="00C50875"/>
    <w:rsid w:val="00C50E7D"/>
    <w:rsid w:val="00C520B3"/>
    <w:rsid w:val="00C520E3"/>
    <w:rsid w:val="00C5282F"/>
    <w:rsid w:val="00C5393C"/>
    <w:rsid w:val="00C53CE3"/>
    <w:rsid w:val="00C547D6"/>
    <w:rsid w:val="00C54B4A"/>
    <w:rsid w:val="00C60E55"/>
    <w:rsid w:val="00C61154"/>
    <w:rsid w:val="00C61AF2"/>
    <w:rsid w:val="00C61ED4"/>
    <w:rsid w:val="00C63F1A"/>
    <w:rsid w:val="00C64B86"/>
    <w:rsid w:val="00C6726C"/>
    <w:rsid w:val="00C677D2"/>
    <w:rsid w:val="00C70171"/>
    <w:rsid w:val="00C71406"/>
    <w:rsid w:val="00C71EEF"/>
    <w:rsid w:val="00C73A73"/>
    <w:rsid w:val="00C75914"/>
    <w:rsid w:val="00C7656B"/>
    <w:rsid w:val="00C77D82"/>
    <w:rsid w:val="00C8005F"/>
    <w:rsid w:val="00C812AE"/>
    <w:rsid w:val="00C824CC"/>
    <w:rsid w:val="00C83399"/>
    <w:rsid w:val="00C83CAC"/>
    <w:rsid w:val="00C858C2"/>
    <w:rsid w:val="00C85B4A"/>
    <w:rsid w:val="00C87B51"/>
    <w:rsid w:val="00C91C66"/>
    <w:rsid w:val="00C92AC9"/>
    <w:rsid w:val="00C937C8"/>
    <w:rsid w:val="00C93854"/>
    <w:rsid w:val="00C94821"/>
    <w:rsid w:val="00CA09E3"/>
    <w:rsid w:val="00CA26D9"/>
    <w:rsid w:val="00CA4962"/>
    <w:rsid w:val="00CA664E"/>
    <w:rsid w:val="00CB2119"/>
    <w:rsid w:val="00CB263C"/>
    <w:rsid w:val="00CB3444"/>
    <w:rsid w:val="00CB36FE"/>
    <w:rsid w:val="00CB6BD8"/>
    <w:rsid w:val="00CB70E7"/>
    <w:rsid w:val="00CB7FA3"/>
    <w:rsid w:val="00CC063F"/>
    <w:rsid w:val="00CC11BD"/>
    <w:rsid w:val="00CC1384"/>
    <w:rsid w:val="00CC2306"/>
    <w:rsid w:val="00CC3FCB"/>
    <w:rsid w:val="00CC4637"/>
    <w:rsid w:val="00CC5BCE"/>
    <w:rsid w:val="00CD1365"/>
    <w:rsid w:val="00CD23F3"/>
    <w:rsid w:val="00CD2D70"/>
    <w:rsid w:val="00CD3591"/>
    <w:rsid w:val="00CD6943"/>
    <w:rsid w:val="00CD6AD0"/>
    <w:rsid w:val="00CD786B"/>
    <w:rsid w:val="00CD7DC3"/>
    <w:rsid w:val="00CD7EFA"/>
    <w:rsid w:val="00CE3A26"/>
    <w:rsid w:val="00CE446C"/>
    <w:rsid w:val="00CE6776"/>
    <w:rsid w:val="00CE6E87"/>
    <w:rsid w:val="00CE7180"/>
    <w:rsid w:val="00CF107E"/>
    <w:rsid w:val="00CF595E"/>
    <w:rsid w:val="00CF7022"/>
    <w:rsid w:val="00CF7098"/>
    <w:rsid w:val="00CF72D4"/>
    <w:rsid w:val="00CF7E21"/>
    <w:rsid w:val="00D00A75"/>
    <w:rsid w:val="00D01CB1"/>
    <w:rsid w:val="00D01D42"/>
    <w:rsid w:val="00D02105"/>
    <w:rsid w:val="00D02251"/>
    <w:rsid w:val="00D05A73"/>
    <w:rsid w:val="00D06563"/>
    <w:rsid w:val="00D07EF7"/>
    <w:rsid w:val="00D10D36"/>
    <w:rsid w:val="00D10D5B"/>
    <w:rsid w:val="00D11061"/>
    <w:rsid w:val="00D127FC"/>
    <w:rsid w:val="00D128FA"/>
    <w:rsid w:val="00D14C1F"/>
    <w:rsid w:val="00D1599A"/>
    <w:rsid w:val="00D15E75"/>
    <w:rsid w:val="00D17F07"/>
    <w:rsid w:val="00D20E0E"/>
    <w:rsid w:val="00D21DED"/>
    <w:rsid w:val="00D22014"/>
    <w:rsid w:val="00D235BD"/>
    <w:rsid w:val="00D23B52"/>
    <w:rsid w:val="00D26117"/>
    <w:rsid w:val="00D27621"/>
    <w:rsid w:val="00D27CAA"/>
    <w:rsid w:val="00D310FD"/>
    <w:rsid w:val="00D349BD"/>
    <w:rsid w:val="00D35FBE"/>
    <w:rsid w:val="00D36842"/>
    <w:rsid w:val="00D406E5"/>
    <w:rsid w:val="00D44060"/>
    <w:rsid w:val="00D442F6"/>
    <w:rsid w:val="00D461E2"/>
    <w:rsid w:val="00D46577"/>
    <w:rsid w:val="00D50F88"/>
    <w:rsid w:val="00D51450"/>
    <w:rsid w:val="00D52F10"/>
    <w:rsid w:val="00D5519E"/>
    <w:rsid w:val="00D579DD"/>
    <w:rsid w:val="00D57C8B"/>
    <w:rsid w:val="00D57D91"/>
    <w:rsid w:val="00D60BF9"/>
    <w:rsid w:val="00D6219A"/>
    <w:rsid w:val="00D6302C"/>
    <w:rsid w:val="00D63D0B"/>
    <w:rsid w:val="00D64188"/>
    <w:rsid w:val="00D65A6C"/>
    <w:rsid w:val="00D65F50"/>
    <w:rsid w:val="00D67792"/>
    <w:rsid w:val="00D728FE"/>
    <w:rsid w:val="00D7344E"/>
    <w:rsid w:val="00D74BCA"/>
    <w:rsid w:val="00D77005"/>
    <w:rsid w:val="00D802A3"/>
    <w:rsid w:val="00D816F5"/>
    <w:rsid w:val="00D81E57"/>
    <w:rsid w:val="00D82306"/>
    <w:rsid w:val="00D832D9"/>
    <w:rsid w:val="00D833EA"/>
    <w:rsid w:val="00D85365"/>
    <w:rsid w:val="00D91E6A"/>
    <w:rsid w:val="00D93930"/>
    <w:rsid w:val="00D95787"/>
    <w:rsid w:val="00DA0C9D"/>
    <w:rsid w:val="00DA17C3"/>
    <w:rsid w:val="00DA1CDE"/>
    <w:rsid w:val="00DA2330"/>
    <w:rsid w:val="00DA35E7"/>
    <w:rsid w:val="00DA3924"/>
    <w:rsid w:val="00DA4B73"/>
    <w:rsid w:val="00DA505E"/>
    <w:rsid w:val="00DA5674"/>
    <w:rsid w:val="00DA65E1"/>
    <w:rsid w:val="00DB118A"/>
    <w:rsid w:val="00DB129A"/>
    <w:rsid w:val="00DB1B21"/>
    <w:rsid w:val="00DB2640"/>
    <w:rsid w:val="00DB2C34"/>
    <w:rsid w:val="00DB2F37"/>
    <w:rsid w:val="00DB6740"/>
    <w:rsid w:val="00DB6A92"/>
    <w:rsid w:val="00DC15B6"/>
    <w:rsid w:val="00DC213F"/>
    <w:rsid w:val="00DC429B"/>
    <w:rsid w:val="00DC49C6"/>
    <w:rsid w:val="00DC5F8D"/>
    <w:rsid w:val="00DD1FBB"/>
    <w:rsid w:val="00DD2365"/>
    <w:rsid w:val="00DD2487"/>
    <w:rsid w:val="00DD2C57"/>
    <w:rsid w:val="00DD6813"/>
    <w:rsid w:val="00DD6ABD"/>
    <w:rsid w:val="00DD7D6A"/>
    <w:rsid w:val="00DE0ED3"/>
    <w:rsid w:val="00DE408F"/>
    <w:rsid w:val="00DE5D49"/>
    <w:rsid w:val="00DE7CD7"/>
    <w:rsid w:val="00DF27A6"/>
    <w:rsid w:val="00DF6665"/>
    <w:rsid w:val="00DF695D"/>
    <w:rsid w:val="00E01AE8"/>
    <w:rsid w:val="00E0276F"/>
    <w:rsid w:val="00E02DD1"/>
    <w:rsid w:val="00E0644B"/>
    <w:rsid w:val="00E078AD"/>
    <w:rsid w:val="00E07AD6"/>
    <w:rsid w:val="00E10197"/>
    <w:rsid w:val="00E12C11"/>
    <w:rsid w:val="00E12CDA"/>
    <w:rsid w:val="00E13BFE"/>
    <w:rsid w:val="00E13ED5"/>
    <w:rsid w:val="00E1561F"/>
    <w:rsid w:val="00E15CA9"/>
    <w:rsid w:val="00E1616F"/>
    <w:rsid w:val="00E16D26"/>
    <w:rsid w:val="00E215BE"/>
    <w:rsid w:val="00E21C45"/>
    <w:rsid w:val="00E26027"/>
    <w:rsid w:val="00E26FCA"/>
    <w:rsid w:val="00E27A9B"/>
    <w:rsid w:val="00E317FC"/>
    <w:rsid w:val="00E331B7"/>
    <w:rsid w:val="00E33439"/>
    <w:rsid w:val="00E33D62"/>
    <w:rsid w:val="00E35C81"/>
    <w:rsid w:val="00E406CF"/>
    <w:rsid w:val="00E4086C"/>
    <w:rsid w:val="00E409FE"/>
    <w:rsid w:val="00E435A9"/>
    <w:rsid w:val="00E43B02"/>
    <w:rsid w:val="00E44649"/>
    <w:rsid w:val="00E44E28"/>
    <w:rsid w:val="00E45125"/>
    <w:rsid w:val="00E455F0"/>
    <w:rsid w:val="00E45F58"/>
    <w:rsid w:val="00E46367"/>
    <w:rsid w:val="00E4696D"/>
    <w:rsid w:val="00E51A9B"/>
    <w:rsid w:val="00E52FF4"/>
    <w:rsid w:val="00E53640"/>
    <w:rsid w:val="00E53CE7"/>
    <w:rsid w:val="00E53D0E"/>
    <w:rsid w:val="00E557FC"/>
    <w:rsid w:val="00E663B0"/>
    <w:rsid w:val="00E700D7"/>
    <w:rsid w:val="00E70101"/>
    <w:rsid w:val="00E708F5"/>
    <w:rsid w:val="00E714C9"/>
    <w:rsid w:val="00E7260F"/>
    <w:rsid w:val="00E76693"/>
    <w:rsid w:val="00E76973"/>
    <w:rsid w:val="00E77E25"/>
    <w:rsid w:val="00E80E61"/>
    <w:rsid w:val="00E82559"/>
    <w:rsid w:val="00E83419"/>
    <w:rsid w:val="00E84FE1"/>
    <w:rsid w:val="00E8503F"/>
    <w:rsid w:val="00E86100"/>
    <w:rsid w:val="00E8620F"/>
    <w:rsid w:val="00E8667D"/>
    <w:rsid w:val="00E868DB"/>
    <w:rsid w:val="00E877AF"/>
    <w:rsid w:val="00E902F9"/>
    <w:rsid w:val="00E9140F"/>
    <w:rsid w:val="00E91622"/>
    <w:rsid w:val="00E92764"/>
    <w:rsid w:val="00E92BD3"/>
    <w:rsid w:val="00E92E29"/>
    <w:rsid w:val="00E92FF6"/>
    <w:rsid w:val="00E93052"/>
    <w:rsid w:val="00E93FA1"/>
    <w:rsid w:val="00E948A6"/>
    <w:rsid w:val="00EA02FD"/>
    <w:rsid w:val="00EA03CF"/>
    <w:rsid w:val="00EA0A91"/>
    <w:rsid w:val="00EA0E0E"/>
    <w:rsid w:val="00EA2F9D"/>
    <w:rsid w:val="00EA37C7"/>
    <w:rsid w:val="00EA4068"/>
    <w:rsid w:val="00EA448E"/>
    <w:rsid w:val="00EA475C"/>
    <w:rsid w:val="00EA47C2"/>
    <w:rsid w:val="00EA5188"/>
    <w:rsid w:val="00EA5B0B"/>
    <w:rsid w:val="00EA5BA7"/>
    <w:rsid w:val="00EA6AE0"/>
    <w:rsid w:val="00EA7773"/>
    <w:rsid w:val="00EA7A69"/>
    <w:rsid w:val="00EB2BCA"/>
    <w:rsid w:val="00EB5191"/>
    <w:rsid w:val="00EB72CD"/>
    <w:rsid w:val="00EC0031"/>
    <w:rsid w:val="00EC4FF7"/>
    <w:rsid w:val="00EC7081"/>
    <w:rsid w:val="00ED08E7"/>
    <w:rsid w:val="00ED0A8D"/>
    <w:rsid w:val="00ED0E38"/>
    <w:rsid w:val="00ED304D"/>
    <w:rsid w:val="00ED46ED"/>
    <w:rsid w:val="00ED5529"/>
    <w:rsid w:val="00ED58AA"/>
    <w:rsid w:val="00ED6896"/>
    <w:rsid w:val="00ED7514"/>
    <w:rsid w:val="00EE0EB7"/>
    <w:rsid w:val="00EE167E"/>
    <w:rsid w:val="00EE1687"/>
    <w:rsid w:val="00EE3F6B"/>
    <w:rsid w:val="00EE4BE4"/>
    <w:rsid w:val="00EE63D0"/>
    <w:rsid w:val="00EF2531"/>
    <w:rsid w:val="00EF3AC5"/>
    <w:rsid w:val="00EF4624"/>
    <w:rsid w:val="00EF5DC5"/>
    <w:rsid w:val="00EF5DDB"/>
    <w:rsid w:val="00F0249C"/>
    <w:rsid w:val="00F0258B"/>
    <w:rsid w:val="00F04A7B"/>
    <w:rsid w:val="00F051A1"/>
    <w:rsid w:val="00F05768"/>
    <w:rsid w:val="00F11A62"/>
    <w:rsid w:val="00F11F4E"/>
    <w:rsid w:val="00F12189"/>
    <w:rsid w:val="00F13501"/>
    <w:rsid w:val="00F13B56"/>
    <w:rsid w:val="00F13D19"/>
    <w:rsid w:val="00F13EFA"/>
    <w:rsid w:val="00F1479A"/>
    <w:rsid w:val="00F14D2D"/>
    <w:rsid w:val="00F1622B"/>
    <w:rsid w:val="00F162C1"/>
    <w:rsid w:val="00F17DCC"/>
    <w:rsid w:val="00F20B83"/>
    <w:rsid w:val="00F210B0"/>
    <w:rsid w:val="00F21E77"/>
    <w:rsid w:val="00F23308"/>
    <w:rsid w:val="00F2345A"/>
    <w:rsid w:val="00F23BA9"/>
    <w:rsid w:val="00F245E3"/>
    <w:rsid w:val="00F24756"/>
    <w:rsid w:val="00F248B8"/>
    <w:rsid w:val="00F24CF4"/>
    <w:rsid w:val="00F32EB3"/>
    <w:rsid w:val="00F37C3E"/>
    <w:rsid w:val="00F401E0"/>
    <w:rsid w:val="00F4517B"/>
    <w:rsid w:val="00F45A23"/>
    <w:rsid w:val="00F467BF"/>
    <w:rsid w:val="00F4775D"/>
    <w:rsid w:val="00F50747"/>
    <w:rsid w:val="00F515FE"/>
    <w:rsid w:val="00F531B4"/>
    <w:rsid w:val="00F55416"/>
    <w:rsid w:val="00F55BD4"/>
    <w:rsid w:val="00F57B56"/>
    <w:rsid w:val="00F612D6"/>
    <w:rsid w:val="00F619DC"/>
    <w:rsid w:val="00F61BC4"/>
    <w:rsid w:val="00F629A7"/>
    <w:rsid w:val="00F645A8"/>
    <w:rsid w:val="00F64F1B"/>
    <w:rsid w:val="00F650FA"/>
    <w:rsid w:val="00F65A28"/>
    <w:rsid w:val="00F66D2B"/>
    <w:rsid w:val="00F66F8C"/>
    <w:rsid w:val="00F674CC"/>
    <w:rsid w:val="00F679BC"/>
    <w:rsid w:val="00F7042E"/>
    <w:rsid w:val="00F705C8"/>
    <w:rsid w:val="00F71B4B"/>
    <w:rsid w:val="00F71CF9"/>
    <w:rsid w:val="00F7265A"/>
    <w:rsid w:val="00F726F1"/>
    <w:rsid w:val="00F73896"/>
    <w:rsid w:val="00F7441C"/>
    <w:rsid w:val="00F75582"/>
    <w:rsid w:val="00F826B8"/>
    <w:rsid w:val="00F85947"/>
    <w:rsid w:val="00F85CA8"/>
    <w:rsid w:val="00F86DA0"/>
    <w:rsid w:val="00F91789"/>
    <w:rsid w:val="00F93CFD"/>
    <w:rsid w:val="00FA0811"/>
    <w:rsid w:val="00FA12E1"/>
    <w:rsid w:val="00FA1EB7"/>
    <w:rsid w:val="00FA2F10"/>
    <w:rsid w:val="00FA327B"/>
    <w:rsid w:val="00FA3D89"/>
    <w:rsid w:val="00FA4E9F"/>
    <w:rsid w:val="00FA65CD"/>
    <w:rsid w:val="00FA6C8D"/>
    <w:rsid w:val="00FB0340"/>
    <w:rsid w:val="00FB2EFC"/>
    <w:rsid w:val="00FB7F2B"/>
    <w:rsid w:val="00FB7F6C"/>
    <w:rsid w:val="00FC02E1"/>
    <w:rsid w:val="00FC0CAC"/>
    <w:rsid w:val="00FC2902"/>
    <w:rsid w:val="00FC2E0E"/>
    <w:rsid w:val="00FC3F40"/>
    <w:rsid w:val="00FC4AA9"/>
    <w:rsid w:val="00FC4D04"/>
    <w:rsid w:val="00FD0DF7"/>
    <w:rsid w:val="00FD1CC1"/>
    <w:rsid w:val="00FD3B76"/>
    <w:rsid w:val="00FD6300"/>
    <w:rsid w:val="00FD6F7B"/>
    <w:rsid w:val="00FE0043"/>
    <w:rsid w:val="00FE0481"/>
    <w:rsid w:val="00FE211D"/>
    <w:rsid w:val="00FE240B"/>
    <w:rsid w:val="00FE2C5B"/>
    <w:rsid w:val="00FE614A"/>
    <w:rsid w:val="00FE6F01"/>
    <w:rsid w:val="00FF0C6F"/>
    <w:rsid w:val="00FF3781"/>
    <w:rsid w:val="00FF3AA0"/>
    <w:rsid w:val="00FF3DDB"/>
    <w:rsid w:val="00FF6ECC"/>
    <w:rsid w:val="04905D73"/>
    <w:rsid w:val="054E6040"/>
    <w:rsid w:val="05DB1828"/>
    <w:rsid w:val="0E280EB7"/>
    <w:rsid w:val="0EF55961"/>
    <w:rsid w:val="11F00E80"/>
    <w:rsid w:val="141507F9"/>
    <w:rsid w:val="1B660E2D"/>
    <w:rsid w:val="1F720BC6"/>
    <w:rsid w:val="20916CF2"/>
    <w:rsid w:val="27654614"/>
    <w:rsid w:val="27C24B4B"/>
    <w:rsid w:val="2D326CE8"/>
    <w:rsid w:val="36034B37"/>
    <w:rsid w:val="3F812AC3"/>
    <w:rsid w:val="43281816"/>
    <w:rsid w:val="48735A8F"/>
    <w:rsid w:val="4BD070D0"/>
    <w:rsid w:val="4F895EFB"/>
    <w:rsid w:val="53BA5595"/>
    <w:rsid w:val="540E2B6B"/>
    <w:rsid w:val="591A3DBF"/>
    <w:rsid w:val="5A1006B7"/>
    <w:rsid w:val="5D6F6800"/>
    <w:rsid w:val="5F5E7CE8"/>
    <w:rsid w:val="62925093"/>
    <w:rsid w:val="630E6C79"/>
    <w:rsid w:val="63492476"/>
    <w:rsid w:val="6BFF67DA"/>
    <w:rsid w:val="6FF55D74"/>
    <w:rsid w:val="75604C3A"/>
    <w:rsid w:val="77E4440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9">
    <w:name w:val="Default Paragraph Font"/>
    <w:semiHidden/>
    <w:uiPriority w:val="0"/>
  </w:style>
  <w:style w:type="table" w:default="1" w:styleId="8">
    <w:name w:val="Normal Table"/>
    <w:semiHidden/>
    <w:uiPriority w:val="0"/>
    <w:tblPr>
      <w:tblStyle w:val="8"/>
      <w:tblCellMar>
        <w:top w:w="0" w:type="dxa"/>
        <w:left w:w="108" w:type="dxa"/>
        <w:bottom w:w="0" w:type="dxa"/>
        <w:right w:w="108" w:type="dxa"/>
      </w:tblCellMar>
    </w:tblPr>
  </w:style>
  <w:style w:type="paragraph" w:styleId="2">
    <w:name w:val="Normal Indent"/>
    <w:basedOn w:val="1"/>
    <w:qFormat/>
    <w:uiPriority w:val="0"/>
    <w:pPr>
      <w:ind w:firstLine="420" w:firstLineChars="200"/>
    </w:pPr>
    <w:rPr>
      <w:sz w:val="24"/>
    </w:rPr>
  </w:style>
  <w:style w:type="paragraph" w:styleId="3">
    <w:name w:val="Body Text"/>
    <w:basedOn w:val="1"/>
    <w:next w:val="1"/>
    <w:qFormat/>
    <w:uiPriority w:val="0"/>
    <w:pPr>
      <w:spacing w:after="120"/>
    </w:pPr>
    <w:rPr>
      <w:rFonts w:ascii="Calibri" w:hAnsi="Calibri"/>
    </w:rPr>
  </w:style>
  <w:style w:type="paragraph" w:styleId="4">
    <w:name w:val="Body Text Indent"/>
    <w:basedOn w:val="1"/>
    <w:uiPriority w:val="0"/>
    <w:pPr>
      <w:spacing w:line="360" w:lineRule="auto"/>
      <w:ind w:firstLine="480"/>
    </w:pPr>
    <w:rPr>
      <w:sz w:val="24"/>
      <w:szCs w:val="20"/>
    </w:rPr>
  </w:style>
  <w:style w:type="paragraph" w:styleId="5">
    <w:name w:val="Date"/>
    <w:basedOn w:val="1"/>
    <w:next w:val="1"/>
    <w:uiPriority w:val="0"/>
    <w:pPr>
      <w:ind w:left="100" w:leftChars="2500"/>
    </w:pPr>
  </w:style>
  <w:style w:type="paragraph" w:styleId="6">
    <w:name w:val="footer"/>
    <w:basedOn w:val="1"/>
    <w:link w:val="13"/>
    <w:uiPriority w:val="0"/>
    <w:pPr>
      <w:tabs>
        <w:tab w:val="center" w:pos="4153"/>
        <w:tab w:val="right" w:pos="8306"/>
      </w:tabs>
      <w:snapToGrid w:val="0"/>
      <w:jc w:val="left"/>
    </w:pPr>
    <w:rPr>
      <w:sz w:val="18"/>
      <w:szCs w:val="18"/>
    </w:rPr>
  </w:style>
  <w:style w:type="paragraph" w:styleId="7">
    <w:name w:val="header"/>
    <w:basedOn w:val="1"/>
    <w:link w:val="12"/>
    <w:uiPriority w:val="0"/>
    <w:pPr>
      <w:pBdr>
        <w:bottom w:val="single" w:color="auto" w:sz="6" w:space="1"/>
      </w:pBdr>
      <w:tabs>
        <w:tab w:val="center" w:pos="4153"/>
        <w:tab w:val="right" w:pos="8306"/>
      </w:tabs>
      <w:snapToGrid w:val="0"/>
      <w:jc w:val="center"/>
    </w:pPr>
    <w:rPr>
      <w:sz w:val="18"/>
      <w:szCs w:val="18"/>
    </w:rPr>
  </w:style>
  <w:style w:type="character" w:styleId="10">
    <w:name w:val="page number"/>
    <w:uiPriority w:val="0"/>
    <w:rPr>
      <w:rFonts w:cs="Times New Roman"/>
    </w:rPr>
  </w:style>
  <w:style w:type="character" w:customStyle="1" w:styleId="11">
    <w:name w:val="NormalCharacter"/>
    <w:semiHidden/>
    <w:qFormat/>
    <w:uiPriority w:val="0"/>
  </w:style>
  <w:style w:type="character" w:customStyle="1" w:styleId="12">
    <w:name w:val=" Char Char"/>
    <w:link w:val="7"/>
    <w:locked/>
    <w:uiPriority w:val="0"/>
    <w:rPr>
      <w:rFonts w:eastAsia="宋体"/>
      <w:kern w:val="2"/>
      <w:sz w:val="18"/>
      <w:szCs w:val="18"/>
      <w:lang w:val="en-US" w:eastAsia="zh-CN" w:bidi="ar-SA"/>
    </w:rPr>
  </w:style>
  <w:style w:type="character" w:customStyle="1" w:styleId="13">
    <w:name w:val=" Char Char1"/>
    <w:link w:val="6"/>
    <w:locked/>
    <w:uiPriority w:val="0"/>
    <w:rPr>
      <w:rFonts w:eastAsia="宋体"/>
      <w:kern w:val="2"/>
      <w:sz w:val="18"/>
      <w:szCs w:val="18"/>
      <w:lang w:val="en-US" w:eastAsia="zh-CN" w:bidi="ar-SA"/>
    </w:rPr>
  </w:style>
  <w:style w:type="character" w:customStyle="1" w:styleId="14">
    <w:name w:val="font11"/>
    <w:qFormat/>
    <w:uiPriority w:val="0"/>
    <w:rPr>
      <w:rFonts w:hint="eastAsia" w:ascii="宋体" w:hAnsi="宋体" w:eastAsia="宋体" w:cs="宋体"/>
      <w:color w:val="0000FF"/>
      <w:sz w:val="24"/>
      <w:szCs w:val="24"/>
      <w:u w:val="none"/>
    </w:rPr>
  </w:style>
  <w:style w:type="paragraph" w:customStyle="1" w:styleId="15">
    <w:name w:val="列出段落"/>
    <w:basedOn w:val="1"/>
    <w:qFormat/>
    <w:uiPriority w:val="34"/>
    <w:pPr>
      <w:ind w:firstLine="420" w:firstLineChars="200"/>
    </w:pPr>
    <w:rPr>
      <w:rFonts w:ascii="Calibri" w:hAnsi="Calibri"/>
      <w:szCs w:val="22"/>
    </w:rPr>
  </w:style>
  <w:style w:type="paragraph" w:customStyle="1" w:styleId="16">
    <w:name w:val="Default"/>
    <w:uiPriority w:val="0"/>
    <w:pPr>
      <w:widowControl w:val="0"/>
      <w:autoSpaceDE w:val="0"/>
      <w:autoSpaceDN w:val="0"/>
      <w:adjustRightInd w:val="0"/>
    </w:pPr>
    <w:rPr>
      <w:rFonts w:ascii="宋体" w:hAnsi="宋体" w:cs="宋体"/>
      <w:color w:val="000000"/>
      <w:sz w:val="24"/>
      <w:szCs w:val="24"/>
      <w:lang w:val="en-US" w:eastAsia="zh-CN" w:bidi="ar-SA"/>
    </w:rPr>
  </w:style>
  <w:style w:type="paragraph" w:customStyle="1" w:styleId="17">
    <w:name w:val="表格文字"/>
    <w:basedOn w:val="2"/>
    <w:next w:val="3"/>
    <w:qFormat/>
    <w:uiPriority w:val="0"/>
    <w:pPr>
      <w:widowControl/>
      <w:adjustRightInd w:val="0"/>
      <w:spacing w:line="0" w:lineRule="atLeast"/>
      <w:ind w:firstLineChars="0"/>
      <w:jc w:val="center"/>
      <w:textAlignment w:val="baseline"/>
    </w:pPr>
    <w:rPr>
      <w:rFonts w:ascii="宋体" w:hAnsi="Calibri" w:eastAsia="楷体_GB2312"/>
      <w:kern w:val="0"/>
      <w:szCs w:val="20"/>
    </w:rPr>
  </w:style>
  <w:style w:type="paragraph" w:customStyle="1" w:styleId="18">
    <w:name w:val=" Char Char Char Char Char Char"/>
    <w:basedOn w:val="1"/>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4.jpe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Company>微软中国</Company>
  <Pages>4</Pages>
  <Words>2901</Words>
  <Characters>3121</Characters>
  <Lines>25</Lines>
  <Paragraphs>7</Paragraphs>
  <TotalTime>0</TotalTime>
  <ScaleCrop>false</ScaleCrop>
  <LinksUpToDate>false</LinksUpToDate>
  <CharactersWithSpaces>3335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2023-07-03T03:44:00Z</dcterms:created>
  <dc:creator>林艺辉</dc:creator>
  <cp:lastModifiedBy>呼噜噜zZ</cp:lastModifiedBy>
  <cp:lastPrinted>2024-01-24T02:42:00Z</cp:lastPrinted>
  <dcterms:modified xsi:type="dcterms:W3CDTF">2025-01-06T07:09:24Z</dcterms:modified>
  <dc:title>福建龙溪轴承（集团）股份有限公司</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eyJoZGlkIjoiNzIxNzFkMDhlMGUwMWQ2ODhjOTE4YjdhYzUwMDNjZjIiLCJ1c2VySWQiOiIzMDU5MjE4NDIifQ==</vt:lpwstr>
  </property>
  <property fmtid="{D5CDD505-2E9C-101B-9397-08002B2CF9AE}" pid="4" name="ICV">
    <vt:lpwstr>E18B3CFE223E4052B7F22C0A346293AA_13</vt:lpwstr>
  </property>
</Properties>
</file>